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firstLine="0" w:firstLineChars="0"/>
        <w:textAlignment w:val="auto"/>
        <w:rPr>
          <w:rFonts w:hint="default" w:ascii="Times New Roman" w:hAnsi="Times New Roman" w:eastAsia="宋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附件3</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center"/>
        <w:textAlignment w:val="auto"/>
        <w:outlineLvl w:val="0"/>
        <w:rPr>
          <w:rFonts w:hint="default" w:ascii="Times New Roman" w:hAnsi="Times New Roman" w:eastAsia="方正小标宋_GBK" w:cs="Times New Roman"/>
          <w:sz w:val="36"/>
          <w:szCs w:val="36"/>
          <w:highlight w:val="none"/>
          <w:lang w:val="en-US" w:eastAsia="zh-CN"/>
        </w:rPr>
      </w:pPr>
      <w:r>
        <w:rPr>
          <w:rFonts w:hint="default" w:ascii="Times New Roman" w:hAnsi="Times New Roman" w:eastAsia="方正小标宋_GBK" w:cs="Times New Roman"/>
          <w:sz w:val="40"/>
          <w:szCs w:val="40"/>
          <w:highlight w:val="none"/>
          <w:lang w:val="en-US" w:eastAsia="zh-CN"/>
        </w:rPr>
        <w:t>信息技术方向创新任务揭榜挂帅申报指南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rPr>
          <w:rFonts w:hint="default" w:ascii="Times New Roman" w:hAnsi="Times New Roman" w:eastAsia="方正小标宋_GBK" w:cs="Times New Roman"/>
          <w:sz w:val="36"/>
          <w:szCs w:val="36"/>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本方向设置工业专用软件</w:t>
      </w:r>
      <w:r>
        <w:rPr>
          <w:rFonts w:hint="default" w:ascii="Times New Roman" w:hAnsi="Times New Roman"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大数据技术</w:t>
      </w:r>
      <w:r>
        <w:rPr>
          <w:rFonts w:hint="default" w:ascii="Times New Roman" w:hAnsi="Times New Roman"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元宇宙技术</w:t>
      </w:r>
      <w:r>
        <w:rPr>
          <w:rFonts w:hint="default" w:ascii="Times New Roman" w:hAnsi="Times New Roman"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金融信息技术</w:t>
      </w:r>
      <w:r>
        <w:rPr>
          <w:rFonts w:hint="default" w:ascii="Times New Roman" w:hAnsi="Times New Roman"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虚拟现实技术</w:t>
      </w:r>
      <w:r>
        <w:rPr>
          <w:rFonts w:hint="default" w:ascii="Times New Roman" w:hAnsi="Times New Roman" w:cs="Times New Roman"/>
          <w:b w:val="0"/>
          <w:bCs w:val="0"/>
          <w:sz w:val="32"/>
          <w:szCs w:val="32"/>
          <w:highlight w:val="none"/>
          <w:lang w:val="en-US" w:eastAsia="zh-CN"/>
        </w:rPr>
        <w:t>5</w:t>
      </w:r>
      <w:r>
        <w:rPr>
          <w:rFonts w:hint="default" w:ascii="Times New Roman" w:hAnsi="Times New Roman" w:eastAsia="仿宋_GB2312" w:cs="Times New Roman"/>
          <w:b w:val="0"/>
          <w:bCs w:val="0"/>
          <w:sz w:val="32"/>
          <w:szCs w:val="32"/>
          <w:highlight w:val="none"/>
          <w:lang w:val="en-US" w:eastAsia="zh-CN"/>
        </w:rPr>
        <w:t>个专题，其中</w:t>
      </w:r>
      <w:r>
        <w:rPr>
          <w:rFonts w:hint="default" w:ascii="Times New Roman" w:hAnsi="Times New Roman" w:cs="Times New Roman"/>
          <w:b w:val="0"/>
          <w:bCs w:val="0"/>
          <w:sz w:val="32"/>
          <w:szCs w:val="32"/>
          <w:highlight w:val="none"/>
          <w:lang w:val="en-US" w:eastAsia="zh-CN"/>
        </w:rPr>
        <w:t>金融信息技术</w:t>
      </w:r>
      <w:r>
        <w:rPr>
          <w:rFonts w:hint="default" w:ascii="Times New Roman" w:hAnsi="Times New Roman" w:eastAsia="仿宋_GB2312" w:cs="Times New Roman"/>
          <w:b w:val="0"/>
          <w:bCs w:val="0"/>
          <w:sz w:val="32"/>
          <w:szCs w:val="32"/>
          <w:highlight w:val="none"/>
          <w:lang w:val="en-US" w:eastAsia="zh-CN"/>
        </w:rPr>
        <w:t>专题与</w:t>
      </w:r>
      <w:r>
        <w:rPr>
          <w:rFonts w:hint="default" w:ascii="Times New Roman" w:hAnsi="Times New Roman" w:cs="Times New Roman"/>
          <w:highlight w:val="none"/>
          <w:lang w:val="en-US" w:eastAsia="zh-CN"/>
        </w:rPr>
        <w:t>中国人民银行、国家金融监督管理总局、中国证券监督管理委员会</w:t>
      </w:r>
      <w:r>
        <w:rPr>
          <w:rFonts w:hint="default" w:ascii="Times New Roman" w:hAnsi="Times New Roman" w:eastAsia="仿宋_GB2312" w:cs="Times New Roman"/>
          <w:b w:val="0"/>
          <w:bCs w:val="0"/>
          <w:sz w:val="32"/>
          <w:szCs w:val="32"/>
          <w:highlight w:val="none"/>
          <w:lang w:val="en-US" w:eastAsia="zh-CN"/>
        </w:rPr>
        <w:t>联合开展。各专题具体揭榜任务如下</w:t>
      </w:r>
      <w:r>
        <w:rPr>
          <w:rFonts w:hint="default" w:ascii="Times New Roman" w:hAnsi="Times New Roman" w:cs="Times New Roman"/>
          <w:b w:val="0"/>
          <w:bCs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一、“工业专用软件”专题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（一）攻关任务指南</w:t>
      </w:r>
    </w:p>
    <w:p>
      <w:pPr>
        <w:spacing w:line="580" w:lineRule="exact"/>
        <w:ind w:firstLine="642" w:firstLineChars="200"/>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1. </w:t>
      </w:r>
      <w:r>
        <w:rPr>
          <w:rFonts w:hint="default" w:ascii="Times New Roman" w:hAnsi="Times New Roman" w:eastAsia="仿宋_GB2312" w:cs="Times New Roman"/>
          <w:b/>
          <w:bCs/>
          <w:kern w:val="0"/>
          <w:sz w:val="32"/>
          <w:szCs w:val="32"/>
          <w:highlight w:val="none"/>
          <w:lang w:val="en-US" w:eastAsia="zh-CN"/>
        </w:rPr>
        <w:t>海底岩土力学CAE软件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both"/>
        <w:textAlignment w:val="auto"/>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揭榜任务</w:t>
      </w:r>
      <w:r>
        <w:rPr>
          <w:rFonts w:hint="default" w:ascii="Times New Roman" w:hAnsi="Times New Roman" w:eastAsia="仿宋_GB2312" w:cs="Times New Roman"/>
          <w:kern w:val="0"/>
          <w:sz w:val="32"/>
          <w:szCs w:val="32"/>
          <w:highlight w:val="none"/>
          <w:lang w:val="en-US" w:eastAsia="zh-CN"/>
        </w:rPr>
        <w:t>：面向海底钻探、深海管缆铺设等场景，从土壤固结和土-结构相互作用两个方面实现研究理论成果的软件化。土壤固结方面完成拟静力外荷载作用下的土体含水量的完整空间部分；土-结构相互作用方面，得到结构拟静力作用下的土应力分布和沉降分布。</w:t>
      </w:r>
    </w:p>
    <w:p>
      <w:pPr>
        <w:spacing w:line="580" w:lineRule="exact"/>
        <w:ind w:left="0" w:leftChars="0" w:firstLine="963" w:firstLineChars="3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kern w:val="0"/>
          <w:sz w:val="32"/>
          <w:szCs w:val="32"/>
          <w:highlight w:val="none"/>
          <w:lang w:val="en-US" w:eastAsia="zh-CN"/>
        </w:rPr>
        <w:t>到2028年，处理超过10万自由度的离散土壤有限元模型，处理超过1万个网格点的土壤含水率和水力坡降计算；与国际先进水平相比，在相同地面外荷载作用下的地应力计算空间平均结果相差不超过1%，空间分布偏差不超过1%；考虑相同土壤和桩体、管道设置时，计算得到的管道和桩体的平均内力偏差不超过1%，应力分布偏差不超过1%；应用于不少于2个海上油田岩土力学分析项目。</w:t>
      </w:r>
    </w:p>
    <w:p>
      <w:pPr>
        <w:spacing w:line="580" w:lineRule="exact"/>
        <w:ind w:firstLine="642" w:firstLineChars="200"/>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2. </w:t>
      </w:r>
      <w:r>
        <w:rPr>
          <w:rFonts w:hint="default" w:ascii="Times New Roman" w:hAnsi="Times New Roman" w:eastAsia="仿宋_GB2312" w:cs="Times New Roman"/>
          <w:b/>
          <w:bCs/>
          <w:kern w:val="0"/>
          <w:sz w:val="32"/>
          <w:szCs w:val="32"/>
          <w:highlight w:val="none"/>
          <w:lang w:val="en-US" w:eastAsia="zh-CN"/>
        </w:rPr>
        <w:t>海上油田地质建模系统</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cs="Times New Roman"/>
          <w:b/>
          <w:bCs/>
          <w:kern w:val="0"/>
          <w:sz w:val="32"/>
          <w:szCs w:val="32"/>
          <w:highlight w:val="none"/>
          <w:lang w:val="en-US" w:eastAsia="zh-CN"/>
        </w:rPr>
        <w:t>揭榜任务</w:t>
      </w:r>
      <w:r>
        <w:rPr>
          <w:rFonts w:hint="default" w:ascii="Times New Roman" w:hAnsi="Times New Roman" w:eastAsia="仿宋_GB2312" w:cs="Times New Roman"/>
          <w:b/>
          <w:bCs/>
          <w:kern w:val="0"/>
          <w:sz w:val="32"/>
          <w:szCs w:val="32"/>
          <w:highlight w:val="none"/>
          <w:lang w:val="en-US" w:eastAsia="zh-CN"/>
        </w:rPr>
        <w:t>：</w:t>
      </w:r>
      <w:r>
        <w:rPr>
          <w:rFonts w:hint="default" w:ascii="Times New Roman" w:hAnsi="Times New Roman" w:eastAsia="仿宋_GB2312" w:cs="Times New Roman"/>
          <w:b w:val="0"/>
          <w:bCs w:val="0"/>
          <w:kern w:val="0"/>
          <w:sz w:val="32"/>
          <w:szCs w:val="32"/>
          <w:highlight w:val="none"/>
          <w:lang w:val="en-US" w:eastAsia="zh-CN"/>
        </w:rPr>
        <w:t>面向海底石油勘探、储量预测等场景，针</w:t>
      </w:r>
      <w:r>
        <w:rPr>
          <w:rFonts w:hint="default" w:ascii="Times New Roman" w:hAnsi="Times New Roman" w:eastAsia="仿宋_GB2312" w:cs="Times New Roman"/>
          <w:b w:val="0"/>
          <w:bCs w:val="0"/>
          <w:sz w:val="32"/>
          <w:highlight w:val="none"/>
          <w:lang w:val="en-US" w:eastAsia="zh-CN"/>
        </w:rPr>
        <w:t>对海上复杂油藏精细描述与定量表征难题，以海上各海域典型油气藏类型为对象开展系统研究，形成一套实现海上不同类型油气藏高效、定量表征的数智化解决方法与技术路径，研发海上油田地质建模系统。包括海上地质建模系统平台总体构架设计与基础数据库研发、海上地质建模系统多维度数据前处理功能设计与模块研发、海上地质建模系统网格系统设计与模块研发、海上地质建模功能设计与模块研发、地震驱动建模与储层不连续界限预测功能移植。</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b w:val="0"/>
          <w:bCs w:val="0"/>
          <w:kern w:val="0"/>
          <w:sz w:val="32"/>
          <w:szCs w:val="32"/>
          <w:highlight w:val="none"/>
          <w:lang w:val="en-US" w:eastAsia="zh-CN"/>
        </w:rPr>
        <w:t>到2028年，</w:t>
      </w:r>
      <w:r>
        <w:rPr>
          <w:rFonts w:hint="default" w:ascii="Times New Roman" w:hAnsi="Times New Roman" w:eastAsia="仿宋_GB2312" w:cs="Times New Roman"/>
          <w:b w:val="0"/>
          <w:bCs w:val="0"/>
          <w:sz w:val="32"/>
          <w:highlight w:val="none"/>
          <w:lang w:val="en-US" w:eastAsia="zh-CN"/>
        </w:rPr>
        <w:t>实现三维构造-属性全流程建模，构造建模吻合度大于95%，属性拟合精度大于95%；支持单模型网格数上限不低于1亿个，计算精度和效率等方面不低于国际先进水平90%；应用于不少于2个海上油田地质建模。</w:t>
      </w:r>
    </w:p>
    <w:p>
      <w:pPr>
        <w:spacing w:line="580" w:lineRule="exact"/>
        <w:ind w:firstLine="642" w:firstLineChars="200"/>
        <w:outlineLvl w:val="3"/>
        <w:rPr>
          <w:rFonts w:hint="default" w:ascii="Times New Roman" w:hAnsi="Times New Roman" w:eastAsia="仿宋_GB2312" w:cs="Times New Roman"/>
          <w:b/>
          <w:bCs/>
          <w:sz w:val="32"/>
          <w:highlight w:val="none"/>
          <w:lang w:val="en-US" w:eastAsia="zh-CN"/>
        </w:rPr>
      </w:pPr>
      <w:r>
        <w:rPr>
          <w:rFonts w:hint="default" w:ascii="Times New Roman" w:hAnsi="Times New Roman" w:cs="Times New Roman"/>
          <w:b/>
          <w:bCs/>
          <w:sz w:val="32"/>
          <w:highlight w:val="none"/>
          <w:lang w:val="en-US" w:eastAsia="zh-CN"/>
        </w:rPr>
        <w:t xml:space="preserve">3. </w:t>
      </w:r>
      <w:r>
        <w:rPr>
          <w:rFonts w:hint="default" w:ascii="Times New Roman" w:hAnsi="Times New Roman" w:eastAsia="仿宋_GB2312" w:cs="Times New Roman"/>
          <w:b/>
          <w:bCs/>
          <w:sz w:val="32"/>
          <w:highlight w:val="none"/>
          <w:lang w:val="en-US" w:eastAsia="zh-CN"/>
        </w:rPr>
        <w:t>海上油藏数值模拟软件</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cs="Times New Roman"/>
          <w:b/>
          <w:bCs/>
          <w:sz w:val="32"/>
          <w:highlight w:val="none"/>
          <w:lang w:val="en-US" w:eastAsia="zh-CN"/>
        </w:rPr>
        <w:t>揭榜任务</w:t>
      </w:r>
      <w:r>
        <w:rPr>
          <w:rFonts w:hint="default" w:ascii="Times New Roman" w:hAnsi="Times New Roman" w:eastAsia="仿宋_GB2312" w:cs="Times New Roman"/>
          <w:b/>
          <w:bCs/>
          <w:sz w:val="32"/>
          <w:highlight w:val="none"/>
          <w:lang w:val="en-US" w:eastAsia="zh-CN"/>
        </w:rPr>
        <w:t>：</w:t>
      </w:r>
      <w:r>
        <w:rPr>
          <w:rFonts w:hint="default" w:ascii="Times New Roman" w:hAnsi="Times New Roman" w:eastAsia="仿宋_GB2312" w:cs="Times New Roman"/>
          <w:b w:val="0"/>
          <w:bCs w:val="0"/>
          <w:sz w:val="32"/>
          <w:highlight w:val="none"/>
          <w:lang w:val="en-US" w:eastAsia="zh-CN"/>
        </w:rPr>
        <w:t>面向海上油气储量预测、开发生产等场景，针对计算速度亟需提升、模拟功能与适用场景亟待拓展的瓶颈难题，重点研发千万网格级大规模高效并行求解技术、新一代AI自动历史拟合与方案优化技术，拓展组分模拟、裂缝模拟、非连续化学驱等新功能，并开展相应功能模块研制、软件集成及测试应用，研发海上高性能多功能油藏数值模拟软件，拥有黑油模拟、化学驱模拟、组分模拟、裂缝模拟等功能模块。</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到2028年，</w:t>
      </w:r>
      <w:r>
        <w:rPr>
          <w:rFonts w:hint="default" w:ascii="Times New Roman" w:hAnsi="Times New Roman" w:eastAsia="仿宋_GB2312"/>
          <w:sz w:val="32"/>
          <w:highlight w:val="none"/>
        </w:rPr>
        <w:t>研发海上高性能多功能油藏数值模拟软件，</w:t>
      </w:r>
      <w:r>
        <w:rPr>
          <w:rFonts w:hint="default" w:ascii="Times New Roman" w:hAnsi="Times New Roman" w:eastAsia="仿宋_GB2312"/>
          <w:sz w:val="32"/>
          <w:highlight w:val="none"/>
          <w:lang w:eastAsia="zh-CN"/>
        </w:rPr>
        <w:t>具备</w:t>
      </w:r>
      <w:r>
        <w:rPr>
          <w:rFonts w:hint="default" w:ascii="Times New Roman" w:hAnsi="Times New Roman" w:eastAsia="仿宋_GB2312"/>
          <w:sz w:val="32"/>
          <w:highlight w:val="none"/>
        </w:rPr>
        <w:t>黑油模拟、化学驱模拟、组分模拟、裂缝模拟等功能，主要动态指标模拟结果与</w:t>
      </w:r>
      <w:r>
        <w:rPr>
          <w:rFonts w:hint="default" w:ascii="Times New Roman" w:hAnsi="Times New Roman" w:eastAsia="仿宋_GB2312"/>
          <w:sz w:val="32"/>
          <w:highlight w:val="none"/>
          <w:lang w:val="en-US" w:eastAsia="zh-CN"/>
        </w:rPr>
        <w:t>实验结果</w:t>
      </w:r>
      <w:r>
        <w:rPr>
          <w:rFonts w:hint="default" w:ascii="Times New Roman" w:hAnsi="Times New Roman" w:eastAsia="仿宋_GB2312"/>
          <w:sz w:val="32"/>
          <w:highlight w:val="none"/>
          <w:lang w:eastAsia="zh-CN"/>
        </w:rPr>
        <w:t>偏差</w:t>
      </w:r>
      <w:r>
        <w:rPr>
          <w:rFonts w:hint="default" w:ascii="Times New Roman" w:hAnsi="Times New Roman" w:eastAsia="仿宋_GB2312"/>
          <w:sz w:val="32"/>
          <w:highlight w:val="none"/>
        </w:rPr>
        <w:t>在3%以内</w:t>
      </w:r>
      <w:r>
        <w:rPr>
          <w:rFonts w:hint="default" w:ascii="Times New Roman" w:hAnsi="Times New Roman" w:eastAsia="仿宋_GB2312"/>
          <w:sz w:val="32"/>
          <w:highlight w:val="none"/>
          <w:lang w:eastAsia="zh-CN"/>
        </w:rPr>
        <w:t>；</w:t>
      </w:r>
      <w:r>
        <w:rPr>
          <w:rFonts w:hint="default" w:ascii="Times New Roman" w:hAnsi="Times New Roman" w:eastAsia="仿宋_GB2312"/>
          <w:sz w:val="32"/>
          <w:highlight w:val="none"/>
        </w:rPr>
        <w:t>黑油模拟、化学驱模拟、组分模拟、裂缝模拟计算速度</w:t>
      </w:r>
      <w:r>
        <w:rPr>
          <w:rFonts w:hint="default" w:ascii="Times New Roman" w:hAnsi="Times New Roman" w:eastAsia="仿宋_GB2312"/>
          <w:sz w:val="32"/>
          <w:highlight w:val="none"/>
          <w:lang w:eastAsia="zh-CN"/>
        </w:rPr>
        <w:t>不低于</w:t>
      </w:r>
      <w:r>
        <w:rPr>
          <w:rFonts w:hint="default" w:ascii="Times New Roman" w:hAnsi="Times New Roman" w:eastAsia="仿宋_GB2312"/>
          <w:sz w:val="32"/>
          <w:highlight w:val="none"/>
          <w:lang w:val="en-US" w:eastAsia="zh-CN"/>
        </w:rPr>
        <w:t>国际先进水平90%</w:t>
      </w:r>
      <w:r>
        <w:rPr>
          <w:rFonts w:hint="default" w:ascii="Times New Roman" w:hAnsi="Times New Roman" w:eastAsia="仿宋_GB2312"/>
          <w:sz w:val="32"/>
          <w:highlight w:val="none"/>
          <w:lang w:eastAsia="zh-CN"/>
        </w:rPr>
        <w:t>；</w:t>
      </w:r>
      <w:r>
        <w:rPr>
          <w:rFonts w:hint="default" w:ascii="Times New Roman" w:hAnsi="Times New Roman" w:eastAsia="仿宋_GB2312"/>
          <w:sz w:val="32"/>
          <w:highlight w:val="none"/>
        </w:rPr>
        <w:t>应用于至少10个海上油田区块油藏应用研究</w:t>
      </w:r>
      <w:r>
        <w:rPr>
          <w:rFonts w:hint="default" w:ascii="Times New Roman" w:hAnsi="Times New Roman" w:eastAsia="仿宋_GB2312"/>
          <w:sz w:val="32"/>
          <w:highlight w:val="none"/>
          <w:lang w:eastAsia="zh-CN"/>
        </w:rPr>
        <w:t>。</w:t>
      </w:r>
    </w:p>
    <w:p>
      <w:pPr>
        <w:spacing w:line="580" w:lineRule="exact"/>
        <w:ind w:firstLine="642" w:firstLineChars="200"/>
        <w:outlineLvl w:val="3"/>
        <w:rPr>
          <w:rFonts w:hint="default" w:ascii="Times New Roman" w:hAnsi="Times New Roman" w:eastAsia="仿宋_GB2312" w:cs="Times New Roman"/>
          <w:b/>
          <w:bCs/>
          <w:sz w:val="32"/>
          <w:highlight w:val="none"/>
          <w:lang w:val="en-US" w:eastAsia="zh-CN"/>
        </w:rPr>
      </w:pPr>
      <w:r>
        <w:rPr>
          <w:rFonts w:hint="default" w:ascii="Times New Roman" w:hAnsi="Times New Roman" w:cs="Times New Roman"/>
          <w:b/>
          <w:bCs/>
          <w:sz w:val="32"/>
          <w:highlight w:val="none"/>
          <w:lang w:val="en-US" w:eastAsia="zh-CN"/>
        </w:rPr>
        <w:t xml:space="preserve">4. </w:t>
      </w:r>
      <w:r>
        <w:rPr>
          <w:rFonts w:hint="default" w:ascii="Times New Roman" w:hAnsi="Times New Roman" w:eastAsia="仿宋_GB2312" w:cs="Times New Roman"/>
          <w:b/>
          <w:bCs/>
          <w:sz w:val="32"/>
          <w:highlight w:val="none"/>
          <w:lang w:val="en-US" w:eastAsia="zh-CN"/>
        </w:rPr>
        <w:t>油气田开发动态分析及分级评价软件</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cs="Times New Roman"/>
          <w:b/>
          <w:bCs/>
          <w:sz w:val="32"/>
          <w:highlight w:val="none"/>
          <w:lang w:val="en-US" w:eastAsia="zh-CN"/>
        </w:rPr>
        <w:t>揭榜任务</w:t>
      </w:r>
      <w:r>
        <w:rPr>
          <w:rFonts w:hint="default" w:ascii="Times New Roman" w:hAnsi="Times New Roman" w:eastAsia="仿宋_GB2312" w:cs="Times New Roman"/>
          <w:b/>
          <w:bCs/>
          <w:sz w:val="32"/>
          <w:highlight w:val="none"/>
          <w:lang w:val="en-US" w:eastAsia="zh-CN"/>
        </w:rPr>
        <w:t>：</w:t>
      </w:r>
      <w:r>
        <w:rPr>
          <w:rFonts w:hint="default" w:ascii="Times New Roman" w:hAnsi="Times New Roman" w:eastAsia="仿宋_GB2312" w:cs="Times New Roman"/>
          <w:b w:val="0"/>
          <w:bCs w:val="0"/>
          <w:sz w:val="32"/>
          <w:highlight w:val="none"/>
          <w:lang w:val="en-US" w:eastAsia="zh-CN"/>
        </w:rPr>
        <w:t>面向碳酸盐、页岩气、致密砂岩等油气开发场景，针对目前存在的智能化水平亟需提升、数据与图形快速处理能力亟待增强两方面挑战，加强智能模型、大数据分析等算法功能集成，开发油气田开发动态分析系统。</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2028年，完成油气田开发动态分析及分级评价软件开发，具备油气藏智能分类与分级评价、函数化分析、新型动态分析、智能模型与大数据分析、数据/图形快速处理与交互分析等功能；动态分析准确度不低于85%，分析效率相比国际先进水平提升30%以上；应用于不少于5家海洋油气开发公司。</w:t>
      </w:r>
    </w:p>
    <w:p>
      <w:pPr>
        <w:spacing w:line="580" w:lineRule="exact"/>
        <w:ind w:firstLine="642" w:firstLineChars="200"/>
        <w:outlineLvl w:val="3"/>
        <w:rPr>
          <w:rFonts w:hint="default" w:ascii="Times New Roman" w:hAnsi="Times New Roman" w:eastAsia="仿宋_GB2312" w:cs="Times New Roman"/>
          <w:b/>
          <w:bCs/>
          <w:sz w:val="32"/>
          <w:highlight w:val="none"/>
          <w:lang w:val="en-US" w:eastAsia="zh-CN"/>
        </w:rPr>
      </w:pPr>
      <w:r>
        <w:rPr>
          <w:rFonts w:hint="default" w:ascii="Times New Roman" w:hAnsi="Times New Roman" w:cs="Times New Roman"/>
          <w:b/>
          <w:bCs/>
          <w:sz w:val="32"/>
          <w:highlight w:val="none"/>
          <w:lang w:val="en-US" w:eastAsia="zh-CN"/>
        </w:rPr>
        <w:t xml:space="preserve">5. </w:t>
      </w:r>
      <w:r>
        <w:rPr>
          <w:rFonts w:hint="default" w:ascii="Times New Roman" w:hAnsi="Times New Roman" w:eastAsia="仿宋_GB2312" w:cs="Times New Roman"/>
          <w:b/>
          <w:bCs/>
          <w:sz w:val="32"/>
          <w:highlight w:val="none"/>
          <w:lang w:val="en-US" w:eastAsia="zh-CN"/>
        </w:rPr>
        <w:t>海洋工程平台混合介质低频电磁仿真软件</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cs="Times New Roman"/>
          <w:b/>
          <w:bCs/>
          <w:sz w:val="32"/>
          <w:highlight w:val="none"/>
          <w:lang w:val="en-US" w:eastAsia="zh-CN"/>
        </w:rPr>
        <w:t>揭榜任务</w:t>
      </w:r>
      <w:r>
        <w:rPr>
          <w:rFonts w:hint="default" w:ascii="Times New Roman" w:hAnsi="Times New Roman" w:eastAsia="仿宋_GB2312" w:cs="Times New Roman"/>
          <w:b/>
          <w:bCs/>
          <w:sz w:val="32"/>
          <w:highlight w:val="none"/>
          <w:lang w:val="en-US" w:eastAsia="zh-CN"/>
        </w:rPr>
        <w:t>：</w:t>
      </w:r>
      <w:r>
        <w:rPr>
          <w:rFonts w:hint="default" w:ascii="Times New Roman" w:hAnsi="Times New Roman" w:eastAsia="仿宋_GB2312" w:cs="Times New Roman"/>
          <w:b w:val="0"/>
          <w:bCs w:val="0"/>
          <w:sz w:val="32"/>
          <w:highlight w:val="none"/>
          <w:lang w:val="en-US" w:eastAsia="zh-CN"/>
        </w:rPr>
        <w:t>面向深远海海工平台设计等场景，开展面向海工平台的多类型材质、低频段、各向异性多层介质电波传播等仿真方法研究，研制海工平台混合介质低频电磁仿真软件，解决海洋钻探平台、海上风电、海上火箭回收平台等海工平台混合介质、低频段等特点带来的网格剖分困难、低频崩溃、迭代收敛慢等难题，实现混合介质、低频电磁仿真功能，填补国内海工平台仿真能力空白，保障我国海工平台产业安全和高质量发展。</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2028年，完成海工平台混合介质低频电磁仿真软件开发，支持开展海工平台资源勘探传感器的辐射特性仿真、资源勘探传感器辐射电磁波在岩层、土壤等介质中传播特性仿真等功能；支持开展海工平台的雷电附着点仿真、雷击分布仿真等功能；预测频段覆盖50Hz~3GHz;计算精度与国际先进水平相比，在滑窗5度范围内，平均偏差小于0.5dB。</w:t>
      </w:r>
    </w:p>
    <w:p>
      <w:pPr>
        <w:spacing w:line="580" w:lineRule="exact"/>
        <w:ind w:firstLine="642" w:firstLineChars="200"/>
        <w:outlineLvl w:val="3"/>
        <w:rPr>
          <w:rFonts w:hint="default" w:ascii="Times New Roman" w:hAnsi="Times New Roman" w:eastAsia="仿宋_GB2312" w:cs="Times New Roman"/>
          <w:b/>
          <w:bCs/>
          <w:sz w:val="32"/>
          <w:highlight w:val="none"/>
          <w:lang w:val="en-US" w:eastAsia="zh-CN"/>
        </w:rPr>
      </w:pPr>
      <w:r>
        <w:rPr>
          <w:rFonts w:hint="default" w:ascii="Times New Roman" w:hAnsi="Times New Roman" w:cs="Times New Roman"/>
          <w:b/>
          <w:bCs/>
          <w:sz w:val="32"/>
          <w:highlight w:val="none"/>
          <w:lang w:val="en-US" w:eastAsia="zh-CN"/>
        </w:rPr>
        <w:t xml:space="preserve">6. </w:t>
      </w:r>
      <w:r>
        <w:rPr>
          <w:rFonts w:hint="default" w:ascii="Times New Roman" w:hAnsi="Times New Roman" w:eastAsia="仿宋_GB2312" w:cs="Times New Roman"/>
          <w:b/>
          <w:bCs/>
          <w:sz w:val="32"/>
          <w:highlight w:val="none"/>
          <w:lang w:val="en-US" w:eastAsia="zh-CN"/>
        </w:rPr>
        <w:t>井筒多相流软件</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cs="Times New Roman"/>
          <w:b/>
          <w:bCs/>
          <w:sz w:val="32"/>
          <w:highlight w:val="none"/>
          <w:lang w:val="en-US" w:eastAsia="zh-CN"/>
        </w:rPr>
        <w:t>揭榜任务</w:t>
      </w:r>
      <w:r>
        <w:rPr>
          <w:rFonts w:hint="default" w:ascii="Times New Roman" w:hAnsi="Times New Roman" w:eastAsia="仿宋_GB2312" w:cs="Times New Roman"/>
          <w:b/>
          <w:bCs/>
          <w:sz w:val="32"/>
          <w:highlight w:val="none"/>
          <w:lang w:val="en-US" w:eastAsia="zh-CN"/>
        </w:rPr>
        <w:t>：</w:t>
      </w:r>
      <w:r>
        <w:rPr>
          <w:rFonts w:hint="default" w:ascii="Times New Roman" w:hAnsi="Times New Roman" w:eastAsia="仿宋_GB2312" w:cs="Times New Roman"/>
          <w:b w:val="0"/>
          <w:bCs w:val="0"/>
          <w:sz w:val="32"/>
          <w:highlight w:val="none"/>
          <w:lang w:val="en-US" w:eastAsia="zh-CN"/>
        </w:rPr>
        <w:t>面向井筒设计、段塞流管理等场景，实现流体高压物性计算、单井产能计算、井筒多相管流计算、井筒温压场计算、海上常用人工举升工艺参数设计、井筒流动安全保障设计，满足海上采油采气方案设计及现场生产优化管理需求，提高设计质量及现场生产运维效率。</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：到2028年，</w:t>
      </w:r>
      <w:r>
        <w:rPr>
          <w:rFonts w:hint="default" w:ascii="Times New Roman" w:hAnsi="Times New Roman" w:eastAsia="仿宋_GB2312"/>
          <w:sz w:val="32"/>
          <w:highlight w:val="none"/>
          <w:lang w:eastAsia="zh-CN"/>
        </w:rPr>
        <w:t>实现</w:t>
      </w:r>
      <w:r>
        <w:rPr>
          <w:rFonts w:hint="default" w:ascii="Times New Roman" w:hAnsi="Times New Roman" w:eastAsia="仿宋_GB2312"/>
          <w:sz w:val="32"/>
          <w:highlight w:val="none"/>
        </w:rPr>
        <w:t>井筒多相流计算、人工举升设计、井筒流动安全保障设计等</w:t>
      </w:r>
      <w:r>
        <w:rPr>
          <w:rFonts w:hint="default" w:ascii="Times New Roman" w:hAnsi="Times New Roman" w:eastAsia="仿宋_GB2312"/>
          <w:sz w:val="32"/>
          <w:highlight w:val="none"/>
          <w:lang w:eastAsia="zh-CN"/>
        </w:rPr>
        <w:t>功能。</w:t>
      </w:r>
      <w:r>
        <w:rPr>
          <w:rFonts w:hint="default" w:ascii="Times New Roman" w:hAnsi="Times New Roman" w:eastAsia="仿宋_GB2312"/>
          <w:sz w:val="32"/>
          <w:highlight w:val="none"/>
        </w:rPr>
        <w:t>运算中整体计算速度与</w:t>
      </w:r>
      <w:r>
        <w:rPr>
          <w:rFonts w:hint="default" w:ascii="Times New Roman" w:hAnsi="Times New Roman" w:eastAsia="仿宋_GB2312"/>
          <w:sz w:val="32"/>
          <w:highlight w:val="none"/>
          <w:lang w:val="en-US" w:eastAsia="zh-CN"/>
        </w:rPr>
        <w:t>国际先进水平</w:t>
      </w:r>
      <w:r>
        <w:rPr>
          <w:rFonts w:hint="default" w:ascii="Times New Roman" w:hAnsi="Times New Roman" w:eastAsia="仿宋_GB2312"/>
          <w:sz w:val="32"/>
          <w:highlight w:val="none"/>
        </w:rPr>
        <w:t>模拟软件相当，主要运算结果差异在3%以内</w:t>
      </w:r>
      <w:r>
        <w:rPr>
          <w:rFonts w:hint="default" w:ascii="Times New Roman" w:hAnsi="Times New Roman" w:eastAsia="仿宋_GB2312"/>
          <w:sz w:val="32"/>
          <w:highlight w:val="none"/>
          <w:lang w:eastAsia="zh-CN"/>
        </w:rPr>
        <w:t>；单个功能模块模拟时间不超过</w:t>
      </w:r>
      <w:r>
        <w:rPr>
          <w:rFonts w:hint="default" w:ascii="Times New Roman" w:hAnsi="Times New Roman" w:eastAsia="仿宋_GB2312"/>
          <w:sz w:val="32"/>
          <w:highlight w:val="none"/>
          <w:lang w:val="en-US" w:eastAsia="zh-CN"/>
        </w:rPr>
        <w:t>30s；</w:t>
      </w:r>
      <w:r>
        <w:rPr>
          <w:rFonts w:hint="default" w:ascii="Times New Roman" w:hAnsi="Times New Roman" w:eastAsia="仿宋_GB2312"/>
          <w:sz w:val="32"/>
          <w:highlight w:val="none"/>
        </w:rPr>
        <w:t>应用于不少于5家海洋油气开发公司</w:t>
      </w:r>
      <w:r>
        <w:rPr>
          <w:rFonts w:hint="default" w:ascii="Times New Roman" w:hAnsi="Times New Roman" w:eastAsia="仿宋_GB2312"/>
          <w:sz w:val="32"/>
          <w:highlight w:val="none"/>
          <w:lang w:eastAsia="zh-CN"/>
        </w:rPr>
        <w:t>。</w:t>
      </w:r>
    </w:p>
    <w:p>
      <w:pPr>
        <w:spacing w:line="580" w:lineRule="exact"/>
        <w:ind w:firstLine="642" w:firstLineChars="200"/>
        <w:outlineLvl w:val="3"/>
        <w:rPr>
          <w:rFonts w:hint="default" w:ascii="Times New Roman" w:hAnsi="Times New Roman" w:eastAsia="仿宋_GB2312" w:cs="Times New Roman"/>
          <w:b/>
          <w:bCs/>
          <w:sz w:val="32"/>
          <w:highlight w:val="none"/>
          <w:lang w:val="en-US" w:eastAsia="zh-CN"/>
        </w:rPr>
      </w:pPr>
      <w:r>
        <w:rPr>
          <w:rFonts w:hint="default" w:ascii="Times New Roman" w:hAnsi="Times New Roman" w:cs="Times New Roman"/>
          <w:b/>
          <w:bCs/>
          <w:sz w:val="32"/>
          <w:highlight w:val="none"/>
          <w:lang w:val="en-US" w:eastAsia="zh-CN"/>
        </w:rPr>
        <w:t xml:space="preserve">7. </w:t>
      </w:r>
      <w:r>
        <w:rPr>
          <w:rFonts w:hint="default" w:ascii="Times New Roman" w:hAnsi="Times New Roman" w:eastAsia="仿宋_GB2312" w:cs="Times New Roman"/>
          <w:b/>
          <w:bCs/>
          <w:sz w:val="32"/>
          <w:highlight w:val="none"/>
          <w:lang w:val="en-US" w:eastAsia="zh-CN"/>
        </w:rPr>
        <w:t>海上油气工程钻完井工艺软件</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cs="Times New Roman"/>
          <w:b/>
          <w:bCs/>
          <w:sz w:val="32"/>
          <w:highlight w:val="none"/>
          <w:lang w:val="en-US" w:eastAsia="zh-CN"/>
        </w:rPr>
        <w:t>揭榜任务</w:t>
      </w:r>
      <w:r>
        <w:rPr>
          <w:rFonts w:hint="default" w:ascii="Times New Roman" w:hAnsi="Times New Roman" w:eastAsia="仿宋_GB2312" w:cs="Times New Roman"/>
          <w:b/>
          <w:bCs/>
          <w:sz w:val="32"/>
          <w:highlight w:val="none"/>
          <w:lang w:val="en-US" w:eastAsia="zh-CN"/>
        </w:rPr>
        <w:t>：</w:t>
      </w:r>
      <w:r>
        <w:rPr>
          <w:rFonts w:hint="default" w:ascii="Times New Roman" w:hAnsi="Times New Roman" w:eastAsia="仿宋_GB2312" w:cs="Times New Roman"/>
          <w:b w:val="0"/>
          <w:bCs w:val="0"/>
          <w:sz w:val="32"/>
          <w:highlight w:val="none"/>
          <w:lang w:val="en-US" w:eastAsia="zh-CN"/>
        </w:rPr>
        <w:t>面向海洋油气工程的井身结构设计、井眼轨迹优化等场景，制定统一的海洋时空数据框架，集成海洋气象、海浪、海流、潮汐数据，让海底地形、地质、海洋环境、设施状态等数据实现互联互通。结合国内海洋油气工程中深层、深海、非常规等复杂勘探开发的实际需求，开展钻井前风险智能预测与方案优化设计、钻中风险实时监测与动态优化、钻井后效果智能评估等关键技术研究，建立安全高效海洋油气工程钻井工艺系统。</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到2028年，</w:t>
      </w:r>
      <w:r>
        <w:rPr>
          <w:rFonts w:hint="default" w:ascii="Times New Roman" w:hAnsi="Times New Roman" w:eastAsia="仿宋_GB2312"/>
          <w:sz w:val="32"/>
          <w:highlight w:val="none"/>
        </w:rPr>
        <w:t>软件平台基础能力指标支持地质-钻井-油藏多专业数据同源、模型同步、方案协同</w:t>
      </w:r>
      <w:r>
        <w:rPr>
          <w:rFonts w:hint="default" w:ascii="Times New Roman" w:hAnsi="Times New Roman" w:eastAsia="仿宋_GB2312"/>
          <w:sz w:val="32"/>
          <w:highlight w:val="none"/>
          <w:lang w:eastAsia="zh-CN"/>
        </w:rPr>
        <w:t>，在同等工艺条件下，</w:t>
      </w:r>
      <w:r>
        <w:rPr>
          <w:rFonts w:hint="default" w:ascii="Times New Roman" w:hAnsi="Times New Roman" w:eastAsia="仿宋_GB2312"/>
          <w:sz w:val="32"/>
          <w:highlight w:val="none"/>
        </w:rPr>
        <w:t>设计迭代周期缩短70%以上；支持三维实时工程作业动态模拟，关键工况仿真速度达到“准实时”；</w:t>
      </w:r>
      <w:r>
        <w:rPr>
          <w:rFonts w:hint="default" w:ascii="Times New Roman" w:hAnsi="Times New Roman" w:eastAsia="仿宋_GB2312"/>
          <w:sz w:val="32"/>
          <w:highlight w:val="none"/>
          <w:lang w:eastAsia="zh-CN"/>
        </w:rPr>
        <w:t>集成典型事故案例不少于</w:t>
      </w:r>
      <w:r>
        <w:rPr>
          <w:rFonts w:hint="default" w:ascii="Times New Roman" w:hAnsi="Times New Roman" w:eastAsia="仿宋_GB2312"/>
          <w:sz w:val="32"/>
          <w:highlight w:val="none"/>
          <w:lang w:val="en-US" w:eastAsia="zh-CN"/>
        </w:rPr>
        <w:t>1000例，支持基于自然语言的智能检索与类比分析，推荐处置方案的初期匹配准确率不低于80%；安全管理与决策支持作业许可、屏障管理的数字化流程、关键步骤合规性自动审查覆盖100%，可追溯性100%</w:t>
      </w:r>
      <w:r>
        <w:rPr>
          <w:rFonts w:hint="default" w:ascii="Times New Roman" w:hAnsi="Times New Roman" w:eastAsia="仿宋_GB2312"/>
          <w:sz w:val="32"/>
          <w:highlight w:val="none"/>
          <w:lang w:eastAsia="zh-CN"/>
        </w:rPr>
        <w:t>；</w:t>
      </w:r>
      <w:r>
        <w:rPr>
          <w:rFonts w:hint="default" w:ascii="Times New Roman" w:hAnsi="Times New Roman" w:eastAsia="仿宋_GB2312"/>
          <w:sz w:val="32"/>
          <w:highlight w:val="none"/>
        </w:rPr>
        <w:t>成功应用于≥3个深水、超深水或高温高压等重点工程项目的前期设计与实时作业支持</w:t>
      </w:r>
      <w:r>
        <w:rPr>
          <w:rFonts w:hint="default" w:ascii="Times New Roman" w:hAnsi="Times New Roman" w:eastAsia="仿宋_GB2312"/>
          <w:sz w:val="32"/>
          <w:highlight w:val="none"/>
          <w:lang w:eastAsia="zh-CN"/>
        </w:rPr>
        <w:t>。</w:t>
      </w:r>
    </w:p>
    <w:p>
      <w:pPr>
        <w:spacing w:line="580" w:lineRule="exact"/>
        <w:ind w:firstLine="642" w:firstLineChars="200"/>
        <w:outlineLvl w:val="3"/>
        <w:rPr>
          <w:rFonts w:hint="default" w:ascii="Times New Roman" w:hAnsi="Times New Roman" w:eastAsia="仿宋_GB2312" w:cs="Times New Roman"/>
          <w:b w:val="0"/>
          <w:bCs w:val="0"/>
          <w:sz w:val="32"/>
          <w:highlight w:val="none"/>
          <w:lang w:val="en-US" w:eastAsia="zh-CN"/>
        </w:rPr>
      </w:pPr>
      <w:r>
        <w:rPr>
          <w:rFonts w:hint="default" w:ascii="Times New Roman" w:hAnsi="Times New Roman" w:cs="Times New Roman"/>
          <w:b/>
          <w:bCs/>
          <w:sz w:val="32"/>
          <w:highlight w:val="none"/>
          <w:lang w:val="en-US" w:eastAsia="zh-CN"/>
        </w:rPr>
        <w:t xml:space="preserve">8. </w:t>
      </w:r>
      <w:r>
        <w:rPr>
          <w:rFonts w:hint="default" w:ascii="Times New Roman" w:hAnsi="Times New Roman" w:eastAsia="仿宋_GB2312" w:cs="Times New Roman"/>
          <w:b/>
          <w:bCs/>
          <w:sz w:val="32"/>
          <w:highlight w:val="none"/>
          <w:lang w:val="en-US" w:eastAsia="zh-CN"/>
        </w:rPr>
        <w:t>海洋工程流固耦合分析软件</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cs="Times New Roman"/>
          <w:b/>
          <w:bCs/>
          <w:sz w:val="32"/>
          <w:highlight w:val="none"/>
          <w:lang w:val="en-US" w:eastAsia="zh-CN"/>
        </w:rPr>
        <w:t>揭榜任务</w:t>
      </w:r>
      <w:r>
        <w:rPr>
          <w:rFonts w:hint="default" w:ascii="Times New Roman" w:hAnsi="Times New Roman" w:eastAsia="仿宋_GB2312" w:cs="Times New Roman"/>
          <w:b/>
          <w:bCs/>
          <w:sz w:val="32"/>
          <w:highlight w:val="none"/>
          <w:lang w:val="en-US" w:eastAsia="zh-CN"/>
        </w:rPr>
        <w:t>：</w:t>
      </w:r>
      <w:r>
        <w:rPr>
          <w:rFonts w:hint="default" w:ascii="Times New Roman" w:hAnsi="Times New Roman" w:eastAsia="仿宋_GB2312" w:cs="Times New Roman"/>
          <w:b w:val="0"/>
          <w:bCs w:val="0"/>
          <w:sz w:val="32"/>
          <w:highlight w:val="none"/>
          <w:lang w:val="en-US" w:eastAsia="zh-CN"/>
        </w:rPr>
        <w:t>面向海工结构物的海洋环境分析、系泊分析等场景，开展面向海洋结构物需要的海洋环境模拟、浮体流固耦合分析、系泊分析方法研究，研发海工流固耦合分析软件。</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2028年，完成海工流固耦合分析软件开发，海洋环境模拟模块突破各类波浪数值模型耦合嵌套技术，形成面向海工结构物的波浪仿真体系；浮体流固耦合分析模块突破单/多体浮体耦合分析、浮体水弹性响应分析、不同尺度结构耦合分析、单/多浮体二阶波浪力分析、浮体剖面载荷计算、浮体湿表面网格压力计算等关键技术；系泊流固耦合分析模块突破多成分复合系泊缆静态特性分析、系泊-浮体异步长耦合响应分析、浮体大位移下浮体-系泊水弹性响应分析等关键技术；软件计算偏差与国际先进水平相比在15%以内；推广应用于不少于3家海洋工程企业。</w:t>
      </w:r>
    </w:p>
    <w:p>
      <w:pPr>
        <w:spacing w:line="580" w:lineRule="exact"/>
        <w:ind w:firstLine="642" w:firstLineChars="200"/>
        <w:outlineLvl w:val="3"/>
        <w:rPr>
          <w:rFonts w:hint="default" w:ascii="Times New Roman" w:hAnsi="Times New Roman" w:eastAsia="仿宋_GB2312" w:cs="Times New Roman"/>
          <w:b/>
          <w:bCs/>
          <w:sz w:val="32"/>
          <w:highlight w:val="none"/>
          <w:lang w:val="en-US" w:eastAsia="zh-CN"/>
        </w:rPr>
      </w:pPr>
      <w:r>
        <w:rPr>
          <w:rFonts w:hint="default" w:ascii="Times New Roman" w:hAnsi="Times New Roman" w:cs="Times New Roman"/>
          <w:b/>
          <w:bCs/>
          <w:sz w:val="32"/>
          <w:highlight w:val="none"/>
          <w:lang w:val="en-US" w:eastAsia="zh-CN"/>
        </w:rPr>
        <w:t xml:space="preserve">9. </w:t>
      </w:r>
      <w:r>
        <w:rPr>
          <w:rFonts w:hint="default" w:ascii="Times New Roman" w:hAnsi="Times New Roman" w:eastAsia="仿宋_GB2312" w:cs="Times New Roman"/>
          <w:b/>
          <w:bCs/>
          <w:sz w:val="32"/>
          <w:highlight w:val="none"/>
          <w:lang w:val="en-US" w:eastAsia="zh-CN"/>
        </w:rPr>
        <w:t>海上风电平台耦合分析软件</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cs="Times New Roman"/>
          <w:b/>
          <w:bCs/>
          <w:sz w:val="32"/>
          <w:highlight w:val="none"/>
          <w:lang w:val="en-US" w:eastAsia="zh-CN"/>
        </w:rPr>
        <w:t>揭榜任务</w:t>
      </w:r>
      <w:r>
        <w:rPr>
          <w:rFonts w:hint="default" w:ascii="Times New Roman" w:hAnsi="Times New Roman" w:eastAsia="仿宋_GB2312" w:cs="Times New Roman"/>
          <w:b/>
          <w:bCs/>
          <w:sz w:val="32"/>
          <w:highlight w:val="none"/>
          <w:lang w:val="en-US" w:eastAsia="zh-CN"/>
        </w:rPr>
        <w:t>：</w:t>
      </w:r>
      <w:r>
        <w:rPr>
          <w:rFonts w:hint="default" w:ascii="Times New Roman" w:hAnsi="Times New Roman" w:eastAsia="仿宋_GB2312" w:cs="Times New Roman"/>
          <w:b w:val="0"/>
          <w:bCs w:val="0"/>
          <w:sz w:val="32"/>
          <w:highlight w:val="none"/>
          <w:lang w:val="en-US" w:eastAsia="zh-CN"/>
        </w:rPr>
        <w:t>面向深远海风电设备设计、安装等场景，开展气动、水动、结构等多物理场耦合计算方法研究，突破关键技术依赖，构建自主分析能力，研发适用于我国特殊海洋环境的多物理场强耦合非线性分析技术，开发具有自主知识产权的多体动力、气动力、水动力、控制等模块，形成气动-水动-结构-系泊-控制的全耦合仿真软件，为我国漂浮式风电规模化开发和能源安全提供核心工具支撑。</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到2028年，研发海上风电平台耦合分析软件，开发多体动力分析、气动力分析、水动力分析、控制分析等模块，形成气动-水动-结构-系泊-控制的全耦合分析功能；软件</w:t>
      </w:r>
      <w:r>
        <w:rPr>
          <w:rFonts w:hint="default" w:ascii="Times New Roman" w:hAnsi="Times New Roman" w:eastAsia="仿宋_GB2312"/>
          <w:sz w:val="32"/>
          <w:highlight w:val="none"/>
        </w:rPr>
        <w:t>计算偏差</w:t>
      </w:r>
      <w:r>
        <w:rPr>
          <w:rFonts w:hint="default" w:ascii="Times New Roman" w:hAnsi="Times New Roman" w:eastAsia="仿宋_GB2312"/>
          <w:sz w:val="32"/>
          <w:highlight w:val="none"/>
          <w:lang w:eastAsia="zh-CN"/>
        </w:rPr>
        <w:t>与国际先进水平相比</w:t>
      </w:r>
      <w:r>
        <w:rPr>
          <w:rFonts w:hint="default" w:ascii="Times New Roman" w:hAnsi="Times New Roman" w:eastAsia="仿宋_GB2312"/>
          <w:sz w:val="32"/>
          <w:highlight w:val="none"/>
        </w:rPr>
        <w:t>在15%以内</w:t>
      </w:r>
      <w:r>
        <w:rPr>
          <w:rFonts w:hint="default" w:ascii="Times New Roman" w:hAnsi="Times New Roman" w:eastAsia="仿宋_GB2312"/>
          <w:sz w:val="32"/>
          <w:highlight w:val="none"/>
          <w:lang w:eastAsia="zh-CN"/>
        </w:rPr>
        <w:t>；</w:t>
      </w:r>
      <w:r>
        <w:rPr>
          <w:rFonts w:hint="default" w:ascii="Times New Roman" w:hAnsi="Times New Roman" w:eastAsia="仿宋_GB2312"/>
          <w:sz w:val="32"/>
          <w:highlight w:val="none"/>
        </w:rPr>
        <w:t>推广应用于不少于3家海洋工程企业</w:t>
      </w:r>
      <w:r>
        <w:rPr>
          <w:rFonts w:hint="default" w:ascii="Times New Roman" w:hAnsi="Times New Roman" w:eastAsia="仿宋_GB2312"/>
          <w:sz w:val="32"/>
          <w:highlight w:val="none"/>
          <w:lang w:eastAsia="zh-CN"/>
        </w:rPr>
        <w:t>。</w:t>
      </w:r>
    </w:p>
    <w:p>
      <w:pPr>
        <w:spacing w:line="580" w:lineRule="exact"/>
        <w:ind w:firstLine="642" w:firstLineChars="200"/>
        <w:outlineLvl w:val="3"/>
        <w:rPr>
          <w:rFonts w:hint="default" w:ascii="Times New Roman" w:hAnsi="Times New Roman" w:eastAsia="仿宋_GB2312" w:cs="Times New Roman"/>
          <w:b/>
          <w:bCs/>
          <w:sz w:val="32"/>
          <w:highlight w:val="none"/>
          <w:lang w:val="en-US" w:eastAsia="zh-CN"/>
        </w:rPr>
      </w:pPr>
      <w:r>
        <w:rPr>
          <w:rFonts w:hint="default" w:ascii="Times New Roman" w:hAnsi="Times New Roman" w:cs="Times New Roman"/>
          <w:b/>
          <w:bCs/>
          <w:sz w:val="32"/>
          <w:highlight w:val="none"/>
          <w:lang w:val="en-US" w:eastAsia="zh-CN"/>
        </w:rPr>
        <w:t xml:space="preserve">10. </w:t>
      </w:r>
      <w:r>
        <w:rPr>
          <w:rFonts w:hint="default" w:ascii="Times New Roman" w:hAnsi="Times New Roman" w:eastAsia="仿宋_GB2312" w:cs="Times New Roman"/>
          <w:b/>
          <w:bCs/>
          <w:sz w:val="32"/>
          <w:highlight w:val="none"/>
          <w:lang w:val="en-US" w:eastAsia="zh-CN"/>
        </w:rPr>
        <w:t>钢结构详图设计软件</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cs="Times New Roman"/>
          <w:b/>
          <w:bCs/>
          <w:sz w:val="32"/>
          <w:highlight w:val="none"/>
          <w:lang w:val="en-US" w:eastAsia="zh-CN"/>
        </w:rPr>
        <w:t>揭榜任务</w:t>
      </w:r>
      <w:r>
        <w:rPr>
          <w:rFonts w:hint="default" w:ascii="Times New Roman" w:hAnsi="Times New Roman" w:eastAsia="仿宋_GB2312" w:cs="Times New Roman"/>
          <w:b/>
          <w:bCs/>
          <w:sz w:val="32"/>
          <w:highlight w:val="none"/>
          <w:lang w:val="en-US" w:eastAsia="zh-CN"/>
        </w:rPr>
        <w:t>：</w:t>
      </w:r>
      <w:r>
        <w:rPr>
          <w:rFonts w:hint="default" w:ascii="Times New Roman" w:hAnsi="Times New Roman" w:eastAsia="仿宋_GB2312" w:cs="Times New Roman"/>
          <w:b w:val="0"/>
          <w:bCs w:val="0"/>
          <w:sz w:val="32"/>
          <w:highlight w:val="none"/>
          <w:lang w:val="en-US" w:eastAsia="zh-CN"/>
        </w:rPr>
        <w:t>研发钢结构设计软件，突破大体量三维钢结构精细模型的编辑和渲染、约束求解技术、自动化出图、AI结构方案生成、AI图纸识别、三维空间模型混合生成等关键技术。对于通用功能，突破梁、柱、板等零件创建，模型编辑（移动、镜像、复制等）等功能模块，提升大体量模型的渲染、编辑与数据存储性能力；突破自定义参数化组件、参数化钢结构截面编辑器等功能模块，提升参数化驱动能力；突破尺寸标注（自动标注）、文字标记（自动标记）、标记工具等功能模块，提升自动化出图能力；突破深化专业二次开发接口功能模块，提升生态移植能力。</w:t>
      </w:r>
    </w:p>
    <w:p>
      <w:pPr>
        <w:spacing w:line="580" w:lineRule="exact"/>
        <w:ind w:firstLine="642" w:firstLineChars="200"/>
        <w:rPr>
          <w:rFonts w:hint="default" w:ascii="Times New Roman" w:hAnsi="Times New Roman" w:eastAsia="仿宋_GB2312"/>
          <w:sz w:val="32"/>
          <w:highlight w:val="none"/>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到2028年，钢结构详图设计软件</w:t>
      </w:r>
      <w:r>
        <w:rPr>
          <w:rFonts w:hint="default" w:ascii="Times New Roman" w:hAnsi="Times New Roman" w:eastAsia="仿宋_GB2312"/>
          <w:sz w:val="32"/>
          <w:highlight w:val="none"/>
        </w:rPr>
        <w:t>满足30万及以上钢结构零件流畅显示及编辑；复杂造型建模准确率达到95%以上；出图能力达到</w:t>
      </w:r>
      <w:r>
        <w:rPr>
          <w:rFonts w:hint="default" w:ascii="Times New Roman" w:hAnsi="Times New Roman" w:eastAsia="仿宋_GB2312"/>
          <w:sz w:val="32"/>
          <w:highlight w:val="none"/>
          <w:lang w:val="en-US" w:eastAsia="zh-CN"/>
        </w:rPr>
        <w:t>国际主流软件</w:t>
      </w:r>
      <w:r>
        <w:rPr>
          <w:rFonts w:hint="default" w:ascii="Times New Roman" w:hAnsi="Times New Roman" w:eastAsia="仿宋_GB2312"/>
          <w:sz w:val="32"/>
          <w:highlight w:val="none"/>
        </w:rPr>
        <w:t>90%以上；</w:t>
      </w:r>
      <w:r>
        <w:rPr>
          <w:rFonts w:hint="default" w:ascii="Times New Roman" w:hAnsi="Times New Roman" w:eastAsia="仿宋_GB2312"/>
          <w:sz w:val="32"/>
          <w:highlight w:val="none"/>
          <w:lang w:val="en-US" w:eastAsia="zh-CN"/>
        </w:rPr>
        <w:t>国际主流软件</w:t>
      </w:r>
      <w:r>
        <w:rPr>
          <w:rFonts w:hint="default" w:ascii="Times New Roman" w:hAnsi="Times New Roman" w:eastAsia="仿宋_GB2312"/>
          <w:sz w:val="32"/>
          <w:highlight w:val="none"/>
        </w:rPr>
        <w:t>模型导入本软件的准确率达到95%以上。能够满足钢铁行业关于钢结构深化设计场景的应用需求</w:t>
      </w:r>
      <w:r>
        <w:rPr>
          <w:rFonts w:hint="default" w:ascii="Times New Roman" w:hAnsi="Times New Roman" w:eastAsia="仿宋_GB2312"/>
          <w:sz w:val="32"/>
          <w:highlight w:val="none"/>
          <w:lang w:eastAsia="zh-CN"/>
        </w:rPr>
        <w:t>，</w:t>
      </w:r>
      <w:r>
        <w:rPr>
          <w:rFonts w:hint="default" w:ascii="Times New Roman" w:hAnsi="Times New Roman" w:eastAsia="仿宋_GB2312"/>
          <w:sz w:val="32"/>
          <w:highlight w:val="none"/>
        </w:rPr>
        <w:t>覆盖厂房、廊道、大型料仓、烟囱等5个复杂应用场景，有效支撑钢结构参数化建模、零构件智能化出图、钢铁行业节点自动化创建、报表模板创建等5个环节提质增效。</w:t>
      </w:r>
    </w:p>
    <w:p>
      <w:pPr>
        <w:spacing w:line="580" w:lineRule="exact"/>
        <w:ind w:firstLine="642" w:firstLineChars="200"/>
        <w:outlineLvl w:val="3"/>
        <w:rPr>
          <w:rFonts w:hint="default" w:ascii="Times New Roman" w:hAnsi="Times New Roman" w:eastAsia="仿宋_GB2312" w:cs="Times New Roman"/>
          <w:b/>
          <w:bCs/>
          <w:sz w:val="32"/>
          <w:highlight w:val="none"/>
          <w:lang w:val="en-US" w:eastAsia="zh-CN"/>
        </w:rPr>
      </w:pPr>
      <w:r>
        <w:rPr>
          <w:rFonts w:hint="default" w:ascii="Times New Roman" w:hAnsi="Times New Roman" w:cs="Times New Roman"/>
          <w:b/>
          <w:bCs/>
          <w:sz w:val="32"/>
          <w:highlight w:val="none"/>
          <w:lang w:val="en-US" w:eastAsia="zh-CN"/>
        </w:rPr>
        <w:t xml:space="preserve">11. </w:t>
      </w:r>
      <w:r>
        <w:rPr>
          <w:rFonts w:hint="default" w:ascii="Times New Roman" w:hAnsi="Times New Roman" w:eastAsia="仿宋_GB2312" w:cs="Times New Roman"/>
          <w:b/>
          <w:bCs/>
          <w:sz w:val="32"/>
          <w:highlight w:val="none"/>
          <w:lang w:val="en-US" w:eastAsia="zh-CN"/>
        </w:rPr>
        <w:t>面向高端装备制造的智能化计算机辅助设计软件</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cs="Times New Roman"/>
          <w:b/>
          <w:bCs/>
          <w:sz w:val="32"/>
          <w:highlight w:val="none"/>
          <w:lang w:val="en-US" w:eastAsia="zh-CN"/>
        </w:rPr>
        <w:t>揭榜任务</w:t>
      </w:r>
      <w:r>
        <w:rPr>
          <w:rFonts w:hint="default" w:ascii="Times New Roman" w:hAnsi="Times New Roman" w:eastAsia="仿宋_GB2312" w:cs="Times New Roman"/>
          <w:b/>
          <w:bCs/>
          <w:sz w:val="32"/>
          <w:highlight w:val="none"/>
          <w:lang w:val="en-US" w:eastAsia="zh-CN"/>
        </w:rPr>
        <w:t>：</w:t>
      </w:r>
      <w:r>
        <w:rPr>
          <w:rFonts w:hint="default" w:ascii="Times New Roman" w:hAnsi="Times New Roman" w:eastAsia="仿宋_GB2312" w:cs="Times New Roman"/>
          <w:b w:val="0"/>
          <w:bCs w:val="0"/>
          <w:sz w:val="32"/>
          <w:highlight w:val="none"/>
          <w:lang w:val="en-US" w:eastAsia="zh-CN"/>
        </w:rPr>
        <w:t>面向参数化特征建模的CAD智能核心架构研究，构建支持草图/特征操作/拓扑元素引用/约束关系的智能CAD核心架构；研究AI+CAD生成精确几何的方法，攻克AI生成模型拓扑错误和精度缺失难题。研发智能辅助设计技术与功能，如多模态生成三维模型技术、用户意图预测技术、智能装配与工程图智能标注功能等。研究AI可识别的、可表达CAD数据上下文的数据表达标准，构建高质量CAD数据集；研究三维CAD数据转换技术，支持主流商业CAD数据格式的带参转换。在航空航天、汽车、船舶、重型装备、国防军工、能源装备等高端装备制造领域开展应用验证。</w:t>
      </w:r>
    </w:p>
    <w:p>
      <w:pPr>
        <w:spacing w:line="580" w:lineRule="exact"/>
        <w:ind w:firstLine="642" w:firstLineChars="200"/>
        <w:rPr>
          <w:rFonts w:hint="default" w:ascii="Times New Roman" w:hAnsi="Times New Roman" w:eastAsia="仿宋_GB2312" w:cs="Times New Roman"/>
          <w:b w:val="0"/>
          <w:bCs w:val="0"/>
          <w:sz w:val="32"/>
          <w:highlight w:val="none"/>
          <w:lang w:val="en-US" w:eastAsia="zh-CN"/>
        </w:rPr>
      </w:pPr>
      <w:r>
        <w:rPr>
          <w:rFonts w:hint="default" w:ascii="Times New Roman" w:hAnsi="Times New Roman" w:eastAsia="仿宋_GB2312" w:cs="Times New Roman"/>
          <w:b/>
          <w:bCs/>
          <w:sz w:val="32"/>
          <w:highlight w:val="none"/>
          <w:lang w:val="en-US" w:eastAsia="zh-CN"/>
        </w:rPr>
        <w:t>预期目标：</w:t>
      </w:r>
      <w:r>
        <w:rPr>
          <w:rFonts w:hint="default" w:ascii="Times New Roman" w:hAnsi="Times New Roman" w:eastAsia="仿宋_GB2312" w:cs="Times New Roman"/>
          <w:b w:val="0"/>
          <w:bCs w:val="0"/>
          <w:sz w:val="32"/>
          <w:highlight w:val="none"/>
          <w:lang w:val="en-US" w:eastAsia="zh-CN"/>
        </w:rPr>
        <w:t>到2028年，</w:t>
      </w:r>
      <w:r>
        <w:rPr>
          <w:rFonts w:hint="default" w:ascii="Times New Roman" w:hAnsi="Times New Roman" w:eastAsia="仿宋_GB2312"/>
          <w:sz w:val="32"/>
          <w:highlight w:val="none"/>
        </w:rPr>
        <w:t>构建一套包含10万带参零件、不少于20类特征操作且原生于国产自主内核的CAD数据集；以自主内核为支撑，AI+CAD模型生成的拓扑准确率≥90%、几何精度达1E-4；智能工具使典型零件设计周期缩短40%以上。形成3D CAD平台，提供不少于5类智能设计功能模块（智能出图、智能装配等）；发布三维CAD带参特征历史数据转换平台。在至少2个高端装备制造细分领域（如航空航天、新能源汽车）形成智能化应用典型案例。</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（二）申报要求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z w:val="32"/>
          <w:szCs w:val="32"/>
          <w:highlight w:val="none"/>
          <w:lang w:val="en-US" w:eastAsia="zh-CN"/>
        </w:rPr>
      </w:pPr>
      <w:bookmarkStart w:id="0" w:name="_GoBack"/>
      <w:bookmarkEnd w:id="0"/>
      <w:r>
        <w:rPr>
          <w:rFonts w:hint="default" w:ascii="Times New Roman" w:hAnsi="Times New Roman" w:cs="Times New Roman"/>
          <w:b/>
          <w:bCs/>
          <w:sz w:val="32"/>
          <w:szCs w:val="32"/>
          <w:highlight w:val="none"/>
          <w:lang w:val="en-US" w:eastAsia="zh-CN"/>
        </w:rPr>
        <w:t>1. 申报方式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符合条件的申报单位应填写申报材料，盖章后于2026年</w:t>
      </w:r>
      <w:r>
        <w:rPr>
          <w:rFonts w:hint="eastAsia" w:ascii="Times New Roman" w:hAnsi="Times New Roman" w:cs="Times New Roman"/>
          <w:b w:val="0"/>
          <w:bCs w:val="0"/>
          <w:sz w:val="32"/>
          <w:szCs w:val="32"/>
          <w:highlight w:val="none"/>
          <w:lang w:val="en-US" w:eastAsia="zh-CN"/>
        </w:rPr>
        <w:t>8月21日</w:t>
      </w:r>
      <w:r>
        <w:rPr>
          <w:rFonts w:hint="default" w:ascii="Times New Roman" w:hAnsi="Times New Roman" w:eastAsia="仿宋_GB2312" w:cs="Times New Roman"/>
          <w:b w:val="0"/>
          <w:bCs w:val="0"/>
          <w:sz w:val="32"/>
          <w:szCs w:val="32"/>
          <w:highlight w:val="none"/>
          <w:lang w:val="en-US" w:eastAsia="zh-CN"/>
        </w:rPr>
        <w:t>前报送至推荐单位。申报期结束后，推荐单位应汇总申报材料，填写《2026年工业和信息化领域创新任务揭榜单位推荐汇总表》并盖章，将推荐表及拟推荐申报材料扫描件于2026年</w:t>
      </w:r>
      <w:r>
        <w:rPr>
          <w:rFonts w:hint="eastAsia" w:ascii="Times New Roman" w:hAnsi="Times New Roman" w:cs="Times New Roman"/>
          <w:b w:val="0"/>
          <w:bCs w:val="0"/>
          <w:sz w:val="32"/>
          <w:szCs w:val="32"/>
          <w:highlight w:val="none"/>
          <w:lang w:val="en-US" w:eastAsia="zh-CN"/>
        </w:rPr>
        <w:t>9月7日</w:t>
      </w:r>
      <w:r>
        <w:rPr>
          <w:rFonts w:hint="default" w:ascii="Times New Roman" w:hAnsi="Times New Roman" w:eastAsia="仿宋_GB2312" w:cs="Times New Roman"/>
          <w:b w:val="0"/>
          <w:bCs w:val="0"/>
          <w:sz w:val="32"/>
          <w:szCs w:val="32"/>
          <w:highlight w:val="none"/>
          <w:lang w:val="en-US" w:eastAsia="zh-CN"/>
        </w:rPr>
        <w:t>前发送至电子邮箱：huanghui@miit.gov.cn，纸质版材料于2026年</w:t>
      </w:r>
      <w:r>
        <w:rPr>
          <w:rFonts w:hint="eastAsia" w:ascii="Times New Roman" w:hAnsi="Times New Roman" w:cs="Times New Roman"/>
          <w:b w:val="0"/>
          <w:bCs w:val="0"/>
          <w:sz w:val="32"/>
          <w:szCs w:val="32"/>
          <w:highlight w:val="none"/>
          <w:lang w:val="en-US" w:eastAsia="zh-CN"/>
        </w:rPr>
        <w:t>9</w:t>
      </w:r>
      <w:r>
        <w:rPr>
          <w:rFonts w:hint="default" w:ascii="Times New Roman" w:hAnsi="Times New Roman" w:eastAsia="仿宋_GB2312" w:cs="Times New Roman"/>
          <w:b w:val="0"/>
          <w:bCs w:val="0"/>
          <w:sz w:val="32"/>
          <w:szCs w:val="32"/>
          <w:highlight w:val="none"/>
          <w:lang w:val="en-US" w:eastAsia="zh-CN"/>
        </w:rPr>
        <w:t>月</w:t>
      </w:r>
      <w:r>
        <w:rPr>
          <w:rFonts w:hint="eastAsia" w:ascii="Times New Roman" w:hAnsi="Times New Roman" w:cs="Times New Roman"/>
          <w:b w:val="0"/>
          <w:bCs w:val="0"/>
          <w:sz w:val="32"/>
          <w:szCs w:val="32"/>
          <w:highlight w:val="none"/>
          <w:lang w:val="en-US" w:eastAsia="zh-CN"/>
        </w:rPr>
        <w:t>14</w:t>
      </w:r>
      <w:r>
        <w:rPr>
          <w:rFonts w:hint="default" w:ascii="Times New Roman" w:hAnsi="Times New Roman" w:eastAsia="仿宋_GB2312" w:cs="Times New Roman"/>
          <w:b w:val="0"/>
          <w:bCs w:val="0"/>
          <w:sz w:val="32"/>
          <w:szCs w:val="32"/>
          <w:highlight w:val="none"/>
          <w:lang w:val="en-US" w:eastAsia="zh-CN"/>
        </w:rPr>
        <w:t>日前寄送至北京市海淀区万寿路27号院8号楼</w:t>
      </w:r>
      <w:r>
        <w:rPr>
          <w:rFonts w:hint="default" w:ascii="Times New Roman" w:hAnsi="Times New Roman" w:cs="Times New Roman"/>
          <w:b w:val="0"/>
          <w:bCs w:val="0"/>
          <w:sz w:val="32"/>
          <w:szCs w:val="32"/>
          <w:highlight w:val="none"/>
          <w:lang w:val="en-US" w:eastAsia="zh-CN"/>
        </w:rPr>
        <w:t>（</w:t>
      </w:r>
      <w:r>
        <w:rPr>
          <w:rFonts w:hint="default" w:ascii="Times New Roman" w:hAnsi="Times New Roman" w:eastAsia="仿宋_GB2312" w:cs="Times New Roman"/>
          <w:b w:val="0"/>
          <w:bCs w:val="0"/>
          <w:sz w:val="32"/>
          <w:szCs w:val="32"/>
          <w:highlight w:val="none"/>
          <w:lang w:val="en-US" w:eastAsia="zh-CN"/>
        </w:rPr>
        <w:t>信息技术发展司），收件人：黄辉</w:t>
      </w:r>
      <w:r>
        <w:rPr>
          <w:rFonts w:hint="eastAsia" w:ascii="Times New Roman" w:hAnsi="Times New Roman" w:cs="Times New Roman"/>
          <w:b w:val="0"/>
          <w:bCs w:val="0"/>
          <w:sz w:val="32"/>
          <w:szCs w:val="32"/>
          <w:highlight w:val="none"/>
          <w:lang w:val="en-US" w:eastAsia="zh-CN"/>
        </w:rPr>
        <w:t>，010-68208210</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cs="Times New Roman"/>
          <w:b/>
          <w:bCs/>
          <w:sz w:val="32"/>
          <w:szCs w:val="32"/>
          <w:highlight w:val="none"/>
          <w:lang w:val="en-US" w:eastAsia="zh-CN"/>
        </w:rPr>
        <w:t>2. 推荐数量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cs="Times New Roman"/>
          <w:sz w:val="32"/>
          <w:szCs w:val="32"/>
          <w:highlight w:val="none"/>
          <w:lang w:val="en-US" w:eastAsia="zh-CN"/>
        </w:rPr>
        <w:t>本</w:t>
      </w:r>
      <w:r>
        <w:rPr>
          <w:rFonts w:hint="default" w:ascii="Times New Roman" w:hAnsi="Times New Roman" w:eastAsia="仿宋_GB2312" w:cs="Times New Roman"/>
          <w:sz w:val="32"/>
          <w:szCs w:val="32"/>
          <w:highlight w:val="none"/>
          <w:lang w:val="en-US" w:eastAsia="zh-CN"/>
        </w:rPr>
        <w:t>专题</w:t>
      </w:r>
      <w:r>
        <w:rPr>
          <w:rFonts w:hint="default" w:ascii="Times New Roman" w:hAnsi="Times New Roman" w:cs="Times New Roman"/>
          <w:sz w:val="32"/>
          <w:szCs w:val="32"/>
          <w:highlight w:val="none"/>
          <w:lang w:val="en-US" w:eastAsia="zh-CN"/>
        </w:rPr>
        <w:t>下，每个地方工业和信息化主管部门推荐单位的</w:t>
      </w:r>
      <w:r>
        <w:rPr>
          <w:rFonts w:hint="default" w:ascii="Times New Roman" w:hAnsi="Times New Roman" w:eastAsia="仿宋_GB2312" w:cs="Times New Roman"/>
          <w:sz w:val="32"/>
          <w:szCs w:val="32"/>
          <w:highlight w:val="none"/>
          <w:lang w:val="en-US" w:eastAsia="zh-CN"/>
        </w:rPr>
        <w:t>推荐数量不多于</w:t>
      </w:r>
      <w:r>
        <w:rPr>
          <w:rFonts w:hint="default" w:ascii="Times New Roman" w:hAnsi="Times New Roman" w:cs="Times New Roman"/>
          <w:sz w:val="32"/>
          <w:szCs w:val="32"/>
          <w:highlight w:val="none"/>
          <w:lang w:val="en-US" w:eastAsia="zh-CN"/>
        </w:rPr>
        <w:t>15</w:t>
      </w:r>
      <w:r>
        <w:rPr>
          <w:rFonts w:hint="default" w:ascii="Times New Roman" w:hAnsi="Times New Roman" w:eastAsia="仿宋_GB2312" w:cs="Times New Roman"/>
          <w:sz w:val="32"/>
          <w:szCs w:val="32"/>
          <w:highlight w:val="none"/>
          <w:lang w:val="en-US" w:eastAsia="zh-CN"/>
        </w:rPr>
        <w:t>个，每个央企</w:t>
      </w:r>
      <w:r>
        <w:rPr>
          <w:rFonts w:hint="default" w:ascii="Times New Roman" w:hAnsi="Times New Roman" w:cs="Times New Roman"/>
          <w:sz w:val="32"/>
          <w:szCs w:val="32"/>
          <w:highlight w:val="none"/>
          <w:lang w:val="en-US" w:eastAsia="zh-CN"/>
        </w:rPr>
        <w:t>推荐单位的</w:t>
      </w:r>
      <w:r>
        <w:rPr>
          <w:rFonts w:hint="default" w:ascii="Times New Roman" w:hAnsi="Times New Roman" w:eastAsia="仿宋_GB2312" w:cs="Times New Roman"/>
          <w:sz w:val="32"/>
          <w:szCs w:val="32"/>
          <w:highlight w:val="none"/>
          <w:lang w:val="en-US" w:eastAsia="zh-CN"/>
        </w:rPr>
        <w:t>推荐数量不多于</w:t>
      </w:r>
      <w:r>
        <w:rPr>
          <w:rFonts w:hint="default" w:ascii="Times New Roman" w:hAnsi="Times New Roman"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个。</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（三）联系方式</w:t>
      </w:r>
    </w:p>
    <w:p>
      <w:pPr>
        <w:ind w:firstLine="64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工业和信息化部信息技术发展司</w:t>
      </w:r>
    </w:p>
    <w:p>
      <w:pPr>
        <w:ind w:firstLine="640"/>
        <w:rPr>
          <w:rFonts w:hint="default" w:ascii="Times New Roman" w:hAnsi="Times New Roman" w:cs="Times New Roman"/>
          <w:b w:val="0"/>
          <w:bCs w:val="0"/>
          <w:sz w:val="32"/>
          <w:szCs w:val="32"/>
          <w:highlight w:val="none"/>
          <w:lang w:eastAsia="zh-CN"/>
        </w:rPr>
      </w:pPr>
      <w:r>
        <w:rPr>
          <w:rFonts w:hint="default" w:ascii="Times New Roman" w:hAnsi="Times New Roman" w:eastAsia="仿宋_GB2312" w:cs="Times New Roman"/>
          <w:sz w:val="32"/>
          <w:szCs w:val="32"/>
          <w:highlight w:val="none"/>
          <w:lang w:val="en-US" w:eastAsia="zh-CN"/>
        </w:rPr>
        <w:t>黄辉  010-68208210</w:t>
      </w:r>
    </w:p>
    <w:p>
      <w:pPr>
        <w:ind w:firstLine="640"/>
        <w:rPr>
          <w:rFonts w:hint="default" w:ascii="Times New Roman" w:hAnsi="Times New Roman" w:cs="Times New Roman"/>
          <w:highlight w:val="none"/>
          <w:lang w:eastAsia="zh-CN"/>
        </w:rPr>
        <w:sectPr>
          <w:headerReference r:id="rId5" w:type="default"/>
          <w:footerReference r:id="rId6"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二、“大数据技术”专题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（一）攻关任务指南</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40" w:leftChars="200" w:right="0" w:rightChars="0" w:firstLine="0" w:firstLineChars="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cs="Times New Roman"/>
          <w:b/>
          <w:bCs/>
          <w:sz w:val="32"/>
          <w:szCs w:val="32"/>
          <w:highlight w:val="none"/>
          <w:lang w:val="en-US" w:eastAsia="zh-CN"/>
        </w:rPr>
        <w:t xml:space="preserve">1. </w:t>
      </w:r>
      <w:r>
        <w:rPr>
          <w:rFonts w:hint="default" w:ascii="Times New Roman" w:hAnsi="Times New Roman" w:eastAsia="仿宋_GB2312" w:cs="Times New Roman"/>
          <w:b/>
          <w:bCs/>
          <w:sz w:val="32"/>
          <w:szCs w:val="32"/>
          <w:highlight w:val="none"/>
          <w:lang w:val="en-US" w:eastAsia="zh-CN"/>
        </w:rPr>
        <w:t>多源异构数据集成与转换技术</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cs="Times New Roman"/>
          <w:b/>
          <w:bCs/>
          <w:sz w:val="32"/>
          <w:szCs w:val="32"/>
          <w:highlight w:val="none"/>
          <w:lang w:val="en-US" w:eastAsia="zh-CN"/>
        </w:rPr>
        <w:t>揭榜任务：</w:t>
      </w:r>
      <w:r>
        <w:rPr>
          <w:rFonts w:hint="default" w:ascii="Times New Roman" w:hAnsi="Times New Roman" w:eastAsia="仿宋_GB2312" w:cs="Times New Roman"/>
          <w:sz w:val="32"/>
          <w:szCs w:val="32"/>
          <w:highlight w:val="none"/>
          <w:lang w:val="en-US" w:eastAsia="zh-CN"/>
        </w:rPr>
        <w:t>研究多源异构数据统一接入技术，突破关系型/非关系型数据库、开放API、结构化/非结构化文件等主流数据源的兼容适配难题，打造一体化数据接入底座。构建低延迟实时数据集成管道，优化数据同步传输协议，实现毫秒级数据集成、转换、加载全流程联动。研究一站式数据治理技术，支撑多源异构数据汇聚采集，并对数据进行清洗、加工、规范与监控，输出高质量数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预期目标：</w:t>
      </w:r>
      <w:r>
        <w:rPr>
          <w:rFonts w:hint="default" w:ascii="Times New Roman" w:hAnsi="Times New Roman" w:eastAsia="仿宋_GB2312" w:cs="Times New Roman"/>
          <w:sz w:val="32"/>
          <w:szCs w:val="32"/>
          <w:highlight w:val="none"/>
          <w:lang w:val="en-US" w:eastAsia="zh-CN"/>
        </w:rPr>
        <w:t>到202</w:t>
      </w:r>
      <w:r>
        <w:rPr>
          <w:rFonts w:hint="default" w:ascii="Times New Roman" w:hAnsi="Times New Roman"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年，支持研究多源异构数据统一接入技术，实现对不少于15种主流数据库产品（包括关系型数据库和非关系型数据库）的兼容接入，新增兼容不少于5种国产主流数据库产品。支持数据转换吞吐量不低于50GB/分钟，智能清洗准确率不低于98%，字段标准化匹配率不低于98%，智能标注合规合格率达85%以上，辅助人工标注效率提升30%。实时数据集成同步端到端延迟不高于100毫秒，离线数据处理任务成功率不低于99.9%。</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640" w:leftChars="200" w:right="0" w:rightChars="0" w:firstLine="0" w:firstLineChars="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超大规模数据批处理技术</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cs="Times New Roman"/>
          <w:b/>
          <w:bCs/>
          <w:sz w:val="32"/>
          <w:szCs w:val="32"/>
          <w:highlight w:val="none"/>
          <w:lang w:val="en-US" w:eastAsia="zh-CN"/>
        </w:rPr>
        <w:t>揭榜任务：</w:t>
      </w:r>
      <w:r>
        <w:rPr>
          <w:rFonts w:hint="default" w:ascii="Times New Roman" w:hAnsi="Times New Roman" w:eastAsia="仿宋_GB2312" w:cs="Times New Roman"/>
          <w:sz w:val="32"/>
          <w:szCs w:val="32"/>
          <w:highlight w:val="none"/>
          <w:lang w:val="en-US" w:eastAsia="zh-CN"/>
        </w:rPr>
        <w:t>聚焦AI大模型训练数据的海量清洗、标注与特征工程，以及高通量科学计算数据的批量预处理需求，研究分布式批处理架构深度优化技术。基于存算分离的节点级快速容错机制，针对当前批处理系统故障恢复时间长、计算效率损失大等痛点，研究基于存算分离架构的细粒度故障恢复技术。构建自主可控的国产化批处理软件栈与平台，基于分布式计算与存储融合引擎，开发覆盖多源数据接入、智能任务调度、全链路监控与资源弹性伸缩的国产化大数据批处理软件栈与平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预期目标：</w:t>
      </w:r>
      <w:r>
        <w:rPr>
          <w:rFonts w:hint="default" w:ascii="Times New Roman" w:hAnsi="Times New Roman" w:eastAsia="仿宋_GB2312" w:cs="Times New Roman"/>
          <w:sz w:val="32"/>
          <w:szCs w:val="32"/>
          <w:highlight w:val="none"/>
          <w:lang w:val="en-US" w:eastAsia="zh-CN"/>
        </w:rPr>
        <w:t>到202</w:t>
      </w:r>
      <w:r>
        <w:rPr>
          <w:rFonts w:hint="default" w:ascii="Times New Roman" w:hAnsi="Times New Roman"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年，支持PB级海量数据批处理，在相同硬件配置下，以当前主流开源批处理引擎为对比基准，单任务处理效率提升不低于50%；在TPCx-BB 100TB基准测试或100TB TeraSort测试中，全流程任务耗时不高于30分钟。集群CPU与内存综合资源利用率不低于70%；任务节点故障自动恢复时间不高于30秒；整体任务失败率不高于0.1%。集群横向扩展支持不低于3000个计算节点，在TPCx-HS基准测试下，集群数据读写混合吞吐量不低于100GB/s。</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640" w:leftChars="200" w:right="0" w:rightChars="0" w:firstLine="0" w:firstLineChars="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新一代工业时序数据库技术</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cs="Times New Roman"/>
          <w:b/>
          <w:bCs/>
          <w:sz w:val="32"/>
          <w:szCs w:val="32"/>
          <w:highlight w:val="none"/>
          <w:lang w:val="en-US" w:eastAsia="zh-CN"/>
        </w:rPr>
        <w:t>揭榜任务：</w:t>
      </w:r>
      <w:r>
        <w:rPr>
          <w:rFonts w:hint="default" w:ascii="Times New Roman" w:hAnsi="Times New Roman" w:eastAsia="仿宋_GB2312" w:cs="Times New Roman"/>
          <w:sz w:val="32"/>
          <w:szCs w:val="32"/>
          <w:highlight w:val="none"/>
          <w:lang w:val="en-US" w:eastAsia="zh-CN"/>
        </w:rPr>
        <w:t>针对现有时序库海量时序数据的写入能力不足、统计分析能力不足、多模数据统一管理不支持、时序数据压缩性能差、以及关键基础场景时序数据的实时计算分析需求等问题，以大模型生态协议为底座，结合内置时序大模型和业务数据知识库实现库内时序数据的秒级推理预测和主动式智能可视化洞察，支持对关系数据和AI模型的计算及存储管理，支持数据跨模查询。</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预期目标：</w:t>
      </w:r>
      <w:r>
        <w:rPr>
          <w:rFonts w:hint="default" w:ascii="Times New Roman" w:hAnsi="Times New Roman" w:eastAsia="仿宋_GB2312" w:cs="Times New Roman"/>
          <w:sz w:val="32"/>
          <w:szCs w:val="32"/>
          <w:highlight w:val="none"/>
          <w:lang w:val="en-US" w:eastAsia="zh-CN"/>
        </w:rPr>
        <w:t>到202</w:t>
      </w:r>
      <w:r>
        <w:rPr>
          <w:rFonts w:hint="default" w:ascii="Times New Roman" w:hAnsi="Times New Roman"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年，单节点支持千万级测点/秒的数据写入能力，在模拟工业场景持续写入10分钟的测试中，平均写入吞吐量应稳定达到不低于1000万测点/秒。对于10亿条时序记录的基准数据集，单次点查询的P99延迟不高于10毫秒；百万级测点规模下的P99延迟不高于100毫秒。针对工业典型高波动时序数据在无损或近无损压缩策略下，实现不低于50倍的存储压缩比。支持PB级时序数据存储；支持时序数据秒级预测/异常检测推理能力；支持关系-时序跨模查询。</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640" w:leftChars="200" w:right="0" w:rightChars="0" w:firstLine="0" w:firstLineChars="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跨域数据编织技术</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cs="Times New Roman"/>
          <w:b/>
          <w:bCs/>
          <w:sz w:val="32"/>
          <w:szCs w:val="32"/>
          <w:highlight w:val="none"/>
          <w:lang w:val="en-US" w:eastAsia="zh-CN"/>
        </w:rPr>
        <w:t>揭榜任务：</w:t>
      </w:r>
      <w:r>
        <w:rPr>
          <w:rFonts w:hint="default" w:ascii="Times New Roman" w:hAnsi="Times New Roman" w:eastAsia="仿宋_GB2312" w:cs="Times New Roman"/>
          <w:sz w:val="32"/>
          <w:szCs w:val="32"/>
          <w:highlight w:val="none"/>
          <w:lang w:val="en-US" w:eastAsia="zh-CN"/>
        </w:rPr>
        <w:t>研发面向工业领域的本体构建工具，支持图形化建模、自动术语抽取、本体验证与管理，具备工业特殊语义的表达能力；构建可扩展的工业语义映射框架，支持与国际主流工业标准本体（如Automation</w:t>
      </w:r>
      <w:r>
        <w:rPr>
          <w:rFonts w:hint="default" w:ascii="Times New Roman" w:hAnsi="Times New Roman"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ML、OPC UA配套规范等）的映射与兼容，为后续语义融合奠定基础；形成基于本体的跨域数据编织原型系统，实现多源异构数据的语义关联与基础推理能力。</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预期目标：</w:t>
      </w:r>
      <w:r>
        <w:rPr>
          <w:rFonts w:hint="default" w:ascii="Times New Roman" w:hAnsi="Times New Roman" w:eastAsia="仿宋_GB2312" w:cs="Times New Roman"/>
          <w:sz w:val="32"/>
          <w:szCs w:val="32"/>
          <w:highlight w:val="none"/>
          <w:lang w:val="en-US" w:eastAsia="zh-CN"/>
        </w:rPr>
        <w:t>到202</w:t>
      </w:r>
      <w:r>
        <w:rPr>
          <w:rFonts w:hint="default" w:ascii="Times New Roman" w:hAnsi="Times New Roman"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年，本体构建工具基于OWL、RDF等国际标准，支持Turtle（TTL）、RDF/XML等不少于2种主流本体序列化格式的导出；在典型本体规模（不高于5000个类/属性）下，单次导出响应时间不高于10秒；推理引擎响应时间不高于3秒；支持自动术语抽取与上述格式一键导出。数据编织原型系统支持主流工业数据格式的接入与交换，具备通过MCP（模型上下文协议）为AI智能体提供语义数据接口的能力；同时支持CSV、JSON、Parquet等通用数据交换格式，满足异构数据源的集成需求。在限定场景下（如跨系统查询10万设备节点、100万时序记录），语义查询响应时间不高于5秒。</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640" w:leftChars="200" w:right="0" w:rightChars="0" w:firstLine="0" w:firstLineChars="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数据集安全伦理检测技术</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cs="Times New Roman"/>
          <w:b/>
          <w:bCs/>
          <w:sz w:val="32"/>
          <w:szCs w:val="32"/>
          <w:highlight w:val="none"/>
          <w:lang w:val="en-US" w:eastAsia="zh-CN"/>
        </w:rPr>
        <w:t>揭榜任务：</w:t>
      </w:r>
      <w:r>
        <w:rPr>
          <w:rFonts w:hint="default" w:ascii="Times New Roman" w:hAnsi="Times New Roman" w:eastAsia="仿宋_GB2312" w:cs="Times New Roman"/>
          <w:sz w:val="32"/>
          <w:szCs w:val="32"/>
          <w:highlight w:val="none"/>
          <w:lang w:val="en-US" w:eastAsia="zh-CN"/>
        </w:rPr>
        <w:t>面向金融、医疗、政务等关键领域中大模型训练数据集的隐私泄露、公平性缺失、算法偏见等突出应用需求，制定覆盖数据全生命周期的伦理安全国际或国内标准，构建AI数据集伦理安全评估规范体系；重点攻关隐私增强计算、公平性评估等核心技术，研发基于大模型与因果推理的智能伦理审查工具；建设产学研协同的开放验证平台，集成伦理检测工具链与AI开发流程，形成"标准—技术—应用"闭环，全面提升AI数据伦理治理核心能力。</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预期目标：</w:t>
      </w:r>
      <w:r>
        <w:rPr>
          <w:rFonts w:hint="default" w:ascii="Times New Roman" w:hAnsi="Times New Roman" w:eastAsia="仿宋_GB2312" w:cs="Times New Roman"/>
          <w:sz w:val="32"/>
          <w:szCs w:val="32"/>
          <w:highlight w:val="none"/>
          <w:lang w:val="en-US" w:eastAsia="zh-CN"/>
        </w:rPr>
        <w:t>到202</w:t>
      </w:r>
      <w:r>
        <w:rPr>
          <w:rFonts w:hint="default" w:ascii="Times New Roman" w:hAnsi="Times New Roman"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年，研制AI数据集伦理安全检测工具原型系统1套，覆盖隐私保护、公平性评估、偏见检测等核心功能模块；形成AI数据集伦理安全检测技术规范草案不低于1项，支撑国家或行业标准立项。</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640" w:leftChars="200" w:right="0" w:rightChars="0" w:firstLine="0" w:firstLineChars="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数据合成设备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cs="Times New Roman"/>
          <w:b/>
          <w:bCs/>
          <w:sz w:val="32"/>
          <w:szCs w:val="32"/>
          <w:highlight w:val="none"/>
          <w:lang w:val="en-US" w:eastAsia="zh-CN"/>
        </w:rPr>
        <w:t>揭榜任务：</w:t>
      </w:r>
      <w:r>
        <w:rPr>
          <w:rFonts w:hint="default" w:ascii="Times New Roman" w:hAnsi="Times New Roman" w:eastAsia="仿宋_GB2312" w:cs="Times New Roman"/>
          <w:sz w:val="32"/>
          <w:szCs w:val="32"/>
          <w:highlight w:val="none"/>
          <w:lang w:val="en-US" w:eastAsia="zh-CN"/>
        </w:rPr>
        <w:t>开展基于国产GPU/NPU等高性能芯片的数据合成设备研发，突破多核多线程协同架构设计、高并行线程调度与资源动态分配技术，构建支撑高分辨率图像合成、复杂3D模型生成的大规模数据高效生成能力。构建软硬件协同优化体系，开发数据合成专用软件栈，优化多任务并发处理与显存带宽管理，提升设备计算效率与稳定性。拓展数据合成设备在自动驾驶、工业仿真、数字孪生等重点行业的应用，推动与人工智能训练平台、仿真系统的深度融合，形成场景化解决方案能力。</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预期目标：</w:t>
      </w:r>
      <w:r>
        <w:rPr>
          <w:rFonts w:hint="default" w:ascii="Times New Roman" w:hAnsi="Times New Roman" w:eastAsia="仿宋_GB2312" w:cs="Times New Roman"/>
          <w:sz w:val="32"/>
          <w:szCs w:val="32"/>
          <w:highlight w:val="none"/>
          <w:lang w:val="en-US" w:eastAsia="zh-CN"/>
        </w:rPr>
        <w:t>到202</w:t>
      </w:r>
      <w:r>
        <w:rPr>
          <w:rFonts w:hint="default" w:ascii="Times New Roman" w:hAnsi="Times New Roman"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年，支持文本、图像、视频、3D模型、时序数据等多模态数据合成。单设备支持不低于1000路视频流并发分析，支持4K（3840×2160）分辨率图像实时合成，合成速度不低于50帧/秒；具备8K（7680×4320）分辨率图像合成能力，合成速度不低于10帧/秒。GPU/NPU核心利用率不低于80%，显存带宽利用率不低于70%；FID指标不高于5（适用于图像模态，其他模态需提供对应的分布一致性评估指标作为补充验证）。</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640" w:leftChars="200" w:right="0" w:rightChars="0" w:firstLine="0" w:firstLineChars="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智能数据洞察类设备</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cs="Times New Roman"/>
          <w:b/>
          <w:bCs/>
          <w:sz w:val="32"/>
          <w:szCs w:val="32"/>
          <w:highlight w:val="none"/>
          <w:lang w:val="en-US" w:eastAsia="zh-CN"/>
        </w:rPr>
        <w:t>揭榜任务：</w:t>
      </w:r>
      <w:r>
        <w:rPr>
          <w:rFonts w:hint="default" w:ascii="Times New Roman" w:hAnsi="Times New Roman" w:eastAsia="仿宋_GB2312" w:cs="Times New Roman"/>
          <w:sz w:val="32"/>
          <w:szCs w:val="32"/>
          <w:highlight w:val="none"/>
          <w:lang w:val="en-US" w:eastAsia="zh-CN"/>
        </w:rPr>
        <w:t>开展基于存算一体、异构协同架构的智能数据洞察设备研发，突破近存计算、线程优化计算、动态能效调度等关键技术，实现高吞吐、低延迟、高能效的数据处理与分析能力。构建软硬件协同优化体系，开发基于开源框架的数据洞察软件平台，研制标准化接口与协议，实现多系统兼容与灵活扩展。突破异构计算资源调度与能效优化技术，建立AI驱动的能耗动态管理机制。深化与金融、医疗等重点行业场景融合，实现从通用型向精准化、实时化、绿色化方向升级。</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bCs/>
          <w:sz w:val="32"/>
          <w:szCs w:val="32"/>
          <w:highlight w:val="none"/>
          <w:lang w:val="en-US" w:eastAsia="zh-CN"/>
        </w:rPr>
        <w:t>预期目标：</w:t>
      </w:r>
      <w:r>
        <w:rPr>
          <w:rFonts w:hint="default" w:ascii="Times New Roman" w:hAnsi="Times New Roman" w:eastAsia="仿宋_GB2312" w:cs="Times New Roman"/>
          <w:sz w:val="32"/>
          <w:szCs w:val="32"/>
          <w:highlight w:val="none"/>
          <w:lang w:val="en-US" w:eastAsia="zh-CN"/>
        </w:rPr>
        <w:t>到202</w:t>
      </w:r>
      <w:r>
        <w:rPr>
          <w:rFonts w:hint="default" w:ascii="Times New Roman" w:hAnsi="Times New Roman"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年，支持结构化与非结构化数据混合分析，在相同的测试数据集和查询负载（如TPC-H 100GB基准测试）下，数据处理吞吐能力（QPS）提升不低于50%；支持通用场景实时分析，P99延迟不高于100ms。存算一体架构下，单节点内存读写带宽不低于800GB/s，以冯·诺依曼架构的通用GPU平台为基准，在相同测试任务下的算能效比提升不低于5倍。支持国密算法的硬件级隐私计算加速，通过国家或行业认可的第三方数据安全合规性检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（二）申报要求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cs="Times New Roman"/>
          <w:b/>
          <w:bCs/>
          <w:sz w:val="32"/>
          <w:szCs w:val="32"/>
          <w:highlight w:val="none"/>
          <w:lang w:val="en-US" w:eastAsia="zh-CN"/>
        </w:rPr>
        <w:t>1. 申报方式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符合条件的申报单位应填写申报材料，盖章后</w:t>
      </w:r>
      <w:r>
        <w:rPr>
          <w:rFonts w:hint="default" w:ascii="Times New Roman" w:hAnsi="Times New Roman" w:cs="Times New Roman"/>
          <w:sz w:val="32"/>
          <w:szCs w:val="32"/>
          <w:highlight w:val="none"/>
          <w:lang w:val="en-US" w:eastAsia="zh-CN"/>
        </w:rPr>
        <w:t>于2026年</w:t>
      </w:r>
      <w:r>
        <w:rPr>
          <w:rFonts w:hint="eastAsia" w:ascii="Times New Roman" w:hAnsi="Times New Roman" w:cs="Times New Roman"/>
          <w:sz w:val="32"/>
          <w:szCs w:val="32"/>
          <w:highlight w:val="none"/>
          <w:lang w:val="en-US" w:eastAsia="zh-CN"/>
        </w:rPr>
        <w:t>8月21日</w:t>
      </w:r>
      <w:r>
        <w:rPr>
          <w:rFonts w:hint="default" w:ascii="Times New Roman" w:hAnsi="Times New Roman" w:cs="Times New Roman"/>
          <w:sz w:val="32"/>
          <w:szCs w:val="32"/>
          <w:highlight w:val="none"/>
          <w:lang w:val="en-US" w:eastAsia="zh-CN"/>
        </w:rPr>
        <w:t>前</w:t>
      </w:r>
      <w:r>
        <w:rPr>
          <w:rFonts w:hint="default" w:ascii="Times New Roman" w:hAnsi="Times New Roman" w:eastAsia="仿宋_GB2312" w:cs="Times New Roman"/>
          <w:sz w:val="32"/>
          <w:szCs w:val="32"/>
          <w:highlight w:val="none"/>
          <w:lang w:val="en-US" w:eastAsia="zh-CN"/>
        </w:rPr>
        <w:t>报送至推荐单位。</w:t>
      </w:r>
      <w:r>
        <w:rPr>
          <w:rFonts w:hint="default" w:ascii="Times New Roman" w:hAnsi="Times New Roman" w:cs="Times New Roman"/>
          <w:sz w:val="32"/>
          <w:szCs w:val="32"/>
          <w:highlight w:val="none"/>
          <w:lang w:val="en-US" w:eastAsia="zh-CN"/>
        </w:rPr>
        <w:t>申报期结束后，</w:t>
      </w:r>
      <w:r>
        <w:rPr>
          <w:rFonts w:hint="default" w:ascii="Times New Roman" w:hAnsi="Times New Roman" w:eastAsia="仿宋_GB2312" w:cs="Times New Roman"/>
          <w:sz w:val="32"/>
          <w:szCs w:val="32"/>
          <w:highlight w:val="none"/>
          <w:lang w:val="en-US" w:eastAsia="zh-CN"/>
        </w:rPr>
        <w:t>推荐单位</w:t>
      </w:r>
      <w:r>
        <w:rPr>
          <w:rFonts w:hint="default" w:ascii="Times New Roman" w:hAnsi="Times New Roman" w:cs="Times New Roman"/>
          <w:sz w:val="32"/>
          <w:szCs w:val="32"/>
          <w:highlight w:val="none"/>
          <w:lang w:val="en-US" w:eastAsia="zh-CN"/>
        </w:rPr>
        <w:t>应</w:t>
      </w:r>
      <w:r>
        <w:rPr>
          <w:rFonts w:hint="default" w:ascii="Times New Roman" w:hAnsi="Times New Roman" w:eastAsia="仿宋_GB2312" w:cs="Times New Roman"/>
          <w:sz w:val="32"/>
          <w:szCs w:val="32"/>
          <w:highlight w:val="none"/>
          <w:lang w:val="en-US" w:eastAsia="zh-CN"/>
        </w:rPr>
        <w:t>汇总申报材料，填写《2026年工业和信息化领域创新任务揭榜单位推荐</w:t>
      </w:r>
      <w:r>
        <w:rPr>
          <w:rFonts w:hint="default" w:ascii="Times New Roman" w:hAnsi="Times New Roman" w:cs="Times New Roman"/>
          <w:sz w:val="32"/>
          <w:szCs w:val="32"/>
          <w:highlight w:val="none"/>
          <w:lang w:val="en-US" w:eastAsia="zh-CN"/>
        </w:rPr>
        <w:t>汇总</w:t>
      </w:r>
      <w:r>
        <w:rPr>
          <w:rFonts w:hint="default" w:ascii="Times New Roman" w:hAnsi="Times New Roman" w:eastAsia="仿宋_GB2312" w:cs="Times New Roman"/>
          <w:sz w:val="32"/>
          <w:szCs w:val="32"/>
          <w:highlight w:val="none"/>
          <w:lang w:val="en-US" w:eastAsia="zh-CN"/>
        </w:rPr>
        <w:t>表》并盖章，</w:t>
      </w:r>
      <w:r>
        <w:rPr>
          <w:rFonts w:hint="default" w:ascii="Times New Roman" w:hAnsi="Times New Roman" w:cs="Times New Roman"/>
          <w:sz w:val="32"/>
          <w:szCs w:val="32"/>
          <w:highlight w:val="none"/>
          <w:lang w:val="en-US" w:eastAsia="zh-CN"/>
        </w:rPr>
        <w:t>将推荐汇总表及拟推荐申报材料扫描件</w:t>
      </w:r>
      <w:r>
        <w:rPr>
          <w:rFonts w:hint="default" w:ascii="Times New Roman" w:hAnsi="Times New Roman" w:eastAsia="仿宋_GB2312" w:cs="Times New Roman"/>
          <w:sz w:val="32"/>
          <w:szCs w:val="32"/>
          <w:highlight w:val="none"/>
          <w:lang w:val="en-US" w:eastAsia="zh-CN"/>
        </w:rPr>
        <w:t>于2026年</w:t>
      </w:r>
      <w:r>
        <w:rPr>
          <w:rFonts w:hint="eastAsia" w:ascii="Times New Roman" w:hAnsi="Times New Roman" w:cs="Times New Roman"/>
          <w:sz w:val="32"/>
          <w:szCs w:val="32"/>
          <w:highlight w:val="none"/>
          <w:lang w:val="en-US" w:eastAsia="zh-CN"/>
        </w:rPr>
        <w:t>9月7日</w:t>
      </w:r>
      <w:r>
        <w:rPr>
          <w:rFonts w:hint="default" w:ascii="Times New Roman" w:hAnsi="Times New Roman" w:eastAsia="仿宋_GB2312" w:cs="Times New Roman"/>
          <w:sz w:val="32"/>
          <w:szCs w:val="32"/>
          <w:highlight w:val="none"/>
          <w:lang w:val="en-US" w:eastAsia="zh-CN"/>
        </w:rPr>
        <w:t>前发送至电子邮箱：</w:t>
      </w:r>
      <w:r>
        <w:rPr>
          <w:rFonts w:hint="default" w:ascii="Times New Roman" w:hAnsi="Times New Roman" w:cs="Times New Roman"/>
          <w:sz w:val="32"/>
          <w:szCs w:val="32"/>
          <w:highlight w:val="none"/>
          <w:lang w:val="en-US" w:eastAsia="zh-CN"/>
        </w:rPr>
        <w:t>18203416228@163.com，纸质版材料于2026年</w:t>
      </w:r>
      <w:r>
        <w:rPr>
          <w:rFonts w:hint="eastAsia" w:ascii="Times New Roman" w:hAnsi="Times New Roman" w:cs="Times New Roman"/>
          <w:sz w:val="32"/>
          <w:szCs w:val="32"/>
          <w:highlight w:val="none"/>
          <w:lang w:val="en-US" w:eastAsia="zh-CN"/>
        </w:rPr>
        <w:t>9</w:t>
      </w:r>
      <w:r>
        <w:rPr>
          <w:rFonts w:hint="default" w:ascii="Times New Roman" w:hAnsi="Times New Roman" w:cs="Times New Roman"/>
          <w:sz w:val="32"/>
          <w:szCs w:val="32"/>
          <w:highlight w:val="none"/>
          <w:lang w:val="en-US" w:eastAsia="zh-CN"/>
        </w:rPr>
        <w:t>月</w:t>
      </w:r>
      <w:r>
        <w:rPr>
          <w:rFonts w:hint="eastAsia" w:ascii="Times New Roman" w:hAnsi="Times New Roman" w:cs="Times New Roman"/>
          <w:sz w:val="32"/>
          <w:szCs w:val="32"/>
          <w:highlight w:val="none"/>
          <w:lang w:val="en-US" w:eastAsia="zh-CN"/>
        </w:rPr>
        <w:t>14</w:t>
      </w:r>
      <w:r>
        <w:rPr>
          <w:rFonts w:hint="default" w:ascii="Times New Roman" w:hAnsi="Times New Roman" w:cs="Times New Roman"/>
          <w:sz w:val="32"/>
          <w:szCs w:val="32"/>
          <w:highlight w:val="none"/>
          <w:lang w:val="en-US" w:eastAsia="zh-CN"/>
        </w:rPr>
        <w:t>日前</w:t>
      </w:r>
      <w:r>
        <w:rPr>
          <w:rFonts w:hint="default" w:ascii="Times New Roman" w:hAnsi="Times New Roman" w:eastAsia="仿宋_GB2312" w:cs="Times New Roman"/>
          <w:sz w:val="32"/>
          <w:szCs w:val="32"/>
          <w:highlight w:val="none"/>
          <w:lang w:val="en-US" w:eastAsia="zh-CN"/>
        </w:rPr>
        <w:t>寄送至</w:t>
      </w:r>
      <w:r>
        <w:rPr>
          <w:rFonts w:hint="default" w:ascii="Times New Roman" w:hAnsi="Times New Roman" w:cs="Times New Roman"/>
          <w:sz w:val="32"/>
          <w:szCs w:val="32"/>
          <w:highlight w:val="none"/>
          <w:lang w:val="en-US" w:eastAsia="zh-CN"/>
        </w:rPr>
        <w:t>北京市海淀区万寿路27号院8号楼1001室</w:t>
      </w:r>
      <w:r>
        <w:rPr>
          <w:rFonts w:hint="default" w:ascii="Times New Roman" w:hAnsi="Times New Roman" w:eastAsia="仿宋_GB2312" w:cs="Times New Roman"/>
          <w:sz w:val="32"/>
          <w:szCs w:val="32"/>
          <w:highlight w:val="none"/>
          <w:lang w:val="en-US" w:eastAsia="zh-CN"/>
        </w:rPr>
        <w:t>，收件人：</w:t>
      </w:r>
      <w:r>
        <w:rPr>
          <w:rFonts w:hint="default" w:ascii="Times New Roman" w:hAnsi="Times New Roman" w:cs="Times New Roman"/>
          <w:sz w:val="32"/>
          <w:szCs w:val="32"/>
          <w:highlight w:val="none"/>
          <w:lang w:val="en-US" w:eastAsia="zh-CN"/>
        </w:rPr>
        <w:t>梁斌 010-68208212/17810203159</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cs="Times New Roman"/>
          <w:b/>
          <w:bCs/>
          <w:sz w:val="32"/>
          <w:szCs w:val="32"/>
          <w:highlight w:val="none"/>
          <w:lang w:val="en-US" w:eastAsia="zh-CN"/>
        </w:rPr>
        <w:t>2. 推荐数量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cs="Times New Roman"/>
          <w:sz w:val="32"/>
          <w:szCs w:val="32"/>
          <w:highlight w:val="none"/>
          <w:lang w:val="en-US" w:eastAsia="zh-CN"/>
        </w:rPr>
        <w:t>本</w:t>
      </w:r>
      <w:r>
        <w:rPr>
          <w:rFonts w:hint="default" w:ascii="Times New Roman" w:hAnsi="Times New Roman" w:eastAsia="仿宋_GB2312" w:cs="Times New Roman"/>
          <w:sz w:val="32"/>
          <w:szCs w:val="32"/>
          <w:highlight w:val="none"/>
          <w:lang w:val="en-US" w:eastAsia="zh-CN"/>
        </w:rPr>
        <w:t>专题</w:t>
      </w:r>
      <w:r>
        <w:rPr>
          <w:rFonts w:hint="default" w:ascii="Times New Roman" w:hAnsi="Times New Roman" w:cs="Times New Roman"/>
          <w:sz w:val="32"/>
          <w:szCs w:val="32"/>
          <w:highlight w:val="none"/>
          <w:lang w:val="en-US" w:eastAsia="zh-CN"/>
        </w:rPr>
        <w:t>下，每个地方工业和信息化主管部门推荐单位的</w:t>
      </w:r>
      <w:r>
        <w:rPr>
          <w:rFonts w:hint="default" w:ascii="Times New Roman" w:hAnsi="Times New Roman" w:eastAsia="仿宋_GB2312" w:cs="Times New Roman"/>
          <w:sz w:val="32"/>
          <w:szCs w:val="32"/>
          <w:highlight w:val="none"/>
          <w:lang w:val="en-US" w:eastAsia="zh-CN"/>
        </w:rPr>
        <w:t>推荐数量不多于</w:t>
      </w:r>
      <w:r>
        <w:rPr>
          <w:rFonts w:hint="default" w:ascii="Times New Roman" w:hAnsi="Times New Roman" w:cs="Times New Roman"/>
          <w:sz w:val="32"/>
          <w:szCs w:val="32"/>
          <w:highlight w:val="none"/>
          <w:lang w:val="en-US" w:eastAsia="zh-CN"/>
        </w:rPr>
        <w:t>20</w:t>
      </w:r>
      <w:r>
        <w:rPr>
          <w:rFonts w:hint="default" w:ascii="Times New Roman" w:hAnsi="Times New Roman" w:eastAsia="仿宋_GB2312" w:cs="Times New Roman"/>
          <w:sz w:val="32"/>
          <w:szCs w:val="32"/>
          <w:highlight w:val="none"/>
          <w:lang w:val="en-US" w:eastAsia="zh-CN"/>
        </w:rPr>
        <w:t>个，每个央企</w:t>
      </w:r>
      <w:r>
        <w:rPr>
          <w:rFonts w:hint="default" w:ascii="Times New Roman" w:hAnsi="Times New Roman" w:cs="Times New Roman"/>
          <w:sz w:val="32"/>
          <w:szCs w:val="32"/>
          <w:highlight w:val="none"/>
          <w:lang w:val="en-US" w:eastAsia="zh-CN"/>
        </w:rPr>
        <w:t>推荐单位的</w:t>
      </w:r>
      <w:r>
        <w:rPr>
          <w:rFonts w:hint="default" w:ascii="Times New Roman" w:hAnsi="Times New Roman" w:eastAsia="仿宋_GB2312" w:cs="Times New Roman"/>
          <w:sz w:val="32"/>
          <w:szCs w:val="32"/>
          <w:highlight w:val="none"/>
          <w:lang w:val="en-US" w:eastAsia="zh-CN"/>
        </w:rPr>
        <w:t>推荐数量不多于</w:t>
      </w:r>
      <w:r>
        <w:rPr>
          <w:rFonts w:hint="default"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个。</w:t>
      </w:r>
      <w:r>
        <w:rPr>
          <w:rFonts w:hint="eastAsia" w:ascii="Times New Roman" w:hAnsi="Times New Roman" w:cs="Times New Roman"/>
          <w:sz w:val="32"/>
          <w:szCs w:val="32"/>
          <w:highlight w:val="none"/>
          <w:lang w:val="en-US" w:eastAsia="zh-CN"/>
        </w:rPr>
        <w:t>拥有大数据专项国家新型工业化产业示范基地/国家大数据综合试验区的省级推荐单位可额外推荐3个。</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（三）联系方式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工业和信息化部</w:t>
      </w:r>
      <w:r>
        <w:rPr>
          <w:rFonts w:hint="default" w:ascii="Times New Roman" w:hAnsi="Times New Roman" w:cs="Times New Roman"/>
          <w:sz w:val="32"/>
          <w:szCs w:val="32"/>
          <w:highlight w:val="none"/>
          <w:lang w:val="en-US" w:eastAsia="zh-CN"/>
        </w:rPr>
        <w:t>信息技术发展</w:t>
      </w:r>
      <w:r>
        <w:rPr>
          <w:rFonts w:hint="default" w:ascii="Times New Roman" w:hAnsi="Times New Roman" w:eastAsia="仿宋_GB2312" w:cs="Times New Roman"/>
          <w:sz w:val="32"/>
          <w:szCs w:val="32"/>
          <w:highlight w:val="none"/>
          <w:lang w:val="en-US" w:eastAsia="zh-CN"/>
        </w:rPr>
        <w:t>司</w:t>
      </w:r>
    </w:p>
    <w:p>
      <w:pPr>
        <w:ind w:firstLine="640"/>
        <w:rPr>
          <w:rFonts w:hint="default" w:ascii="Times New Roman" w:hAnsi="Times New Roman" w:cs="Times New Roman"/>
          <w:b w:val="0"/>
          <w:bCs w:val="0"/>
          <w:sz w:val="32"/>
          <w:szCs w:val="32"/>
          <w:highlight w:val="none"/>
          <w:lang w:val="en-US" w:eastAsia="zh-CN"/>
        </w:rPr>
      </w:pPr>
      <w:r>
        <w:rPr>
          <w:rFonts w:hint="default" w:ascii="Times New Roman" w:hAnsi="Times New Roman" w:cs="Times New Roman"/>
          <w:sz w:val="32"/>
          <w:szCs w:val="32"/>
          <w:highlight w:val="none"/>
          <w:lang w:val="en-US" w:eastAsia="zh-CN"/>
        </w:rPr>
        <w:t>梁斌</w:t>
      </w:r>
      <w:r>
        <w:rPr>
          <w:rFonts w:hint="default" w:ascii="Times New Roman" w:hAnsi="Times New Roman" w:eastAsia="仿宋_GB2312" w:cs="Times New Roman"/>
          <w:sz w:val="32"/>
          <w:szCs w:val="32"/>
          <w:highlight w:val="none"/>
          <w:lang w:val="en-US" w:eastAsia="zh-CN"/>
        </w:rPr>
        <w:t xml:space="preserve">  010-6820</w:t>
      </w:r>
      <w:r>
        <w:rPr>
          <w:rFonts w:hint="default" w:ascii="Times New Roman" w:hAnsi="Times New Roman" w:cs="Times New Roman"/>
          <w:sz w:val="32"/>
          <w:szCs w:val="32"/>
          <w:highlight w:val="none"/>
          <w:lang w:val="en-US" w:eastAsia="zh-CN"/>
        </w:rPr>
        <w:t>8212</w:t>
      </w:r>
    </w:p>
    <w:p>
      <w:pPr>
        <w:ind w:firstLine="640"/>
        <w:rPr>
          <w:rFonts w:hint="default" w:ascii="Times New Roman" w:hAnsi="Times New Roman" w:cs="Times New Roman"/>
          <w:highlight w:val="none"/>
          <w:lang w:eastAsia="zh-CN"/>
        </w:rPr>
        <w:sectPr>
          <w:headerReference r:id="rId7"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三、“元宇宙技术”专题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（一）攻关任务指南</w:t>
      </w:r>
    </w:p>
    <w:p>
      <w:pPr>
        <w:numPr>
          <w:ilvl w:val="0"/>
          <w:numId w:val="0"/>
        </w:numPr>
        <w:spacing w:line="580" w:lineRule="exact"/>
        <w:ind w:firstLine="642" w:firstLineChars="200"/>
        <w:outlineLvl w:val="3"/>
        <w:rPr>
          <w:rFonts w:hint="default" w:ascii="Times New Roman" w:hAnsi="Times New Roman" w:eastAsia="楷体_GB2312" w:cs="Times New Roman"/>
          <w:b/>
          <w:bCs/>
          <w:kern w:val="0"/>
          <w:sz w:val="32"/>
          <w:szCs w:val="32"/>
          <w:highlight w:val="none"/>
          <w:lang w:val="en-US" w:eastAsia="zh-CN"/>
        </w:rPr>
      </w:pPr>
      <w:r>
        <w:rPr>
          <w:rFonts w:hint="default" w:ascii="Times New Roman" w:hAnsi="Times New Roman" w:eastAsia="楷体_GB2312" w:cs="Times New Roman"/>
          <w:b/>
          <w:bCs/>
          <w:kern w:val="0"/>
          <w:sz w:val="32"/>
          <w:szCs w:val="32"/>
          <w:highlight w:val="none"/>
          <w:lang w:val="en-US" w:eastAsia="zh-CN" w:bidi="ar-SA"/>
        </w:rPr>
        <w:t xml:space="preserve">1. </w:t>
      </w:r>
      <w:r>
        <w:rPr>
          <w:rFonts w:hint="default" w:ascii="Times New Roman" w:hAnsi="Times New Roman" w:eastAsia="楷体_GB2312" w:cs="Times New Roman"/>
          <w:b/>
          <w:bCs/>
          <w:kern w:val="0"/>
          <w:sz w:val="32"/>
          <w:szCs w:val="32"/>
          <w:highlight w:val="none"/>
          <w:lang w:val="en-US" w:eastAsia="zh-CN"/>
        </w:rPr>
        <w:t>元宇宙空间计算引擎</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揭榜任务</w:t>
      </w:r>
      <w:r>
        <w:rPr>
          <w:rFonts w:hint="default" w:ascii="Times New Roman" w:hAnsi="Times New Roman" w:eastAsia="仿宋_GB2312" w:cs="Times New Roman"/>
          <w:kern w:val="0"/>
          <w:sz w:val="32"/>
          <w:szCs w:val="32"/>
          <w:highlight w:val="none"/>
          <w:lang w:val="en-US" w:eastAsia="zh-CN"/>
        </w:rPr>
        <w:t>：研发空间计算、实时渲染、物理仿真、分布式同步核心引擎，突破大场景轻量化、多终端适配、低时延传输、安全可信技术，构建标准接口与开发工具链，形成</w:t>
      </w:r>
      <w:r>
        <w:rPr>
          <w:rFonts w:hint="default" w:ascii="Times New Roman" w:hAnsi="Times New Roman" w:cs="Times New Roman"/>
          <w:kern w:val="0"/>
          <w:sz w:val="32"/>
          <w:szCs w:val="32"/>
          <w:highlight w:val="none"/>
          <w:lang w:val="en-US" w:eastAsia="zh-CN"/>
        </w:rPr>
        <w:t>自主研发的</w:t>
      </w:r>
      <w:r>
        <w:rPr>
          <w:rFonts w:hint="default" w:ascii="Times New Roman" w:hAnsi="Times New Roman" w:eastAsia="仿宋_GB2312" w:cs="Times New Roman"/>
          <w:kern w:val="0"/>
          <w:sz w:val="32"/>
          <w:szCs w:val="32"/>
          <w:highlight w:val="none"/>
          <w:lang w:val="en-US" w:eastAsia="zh-CN"/>
        </w:rPr>
        <w:t>高性能元宇宙基础组件库。</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kern w:val="0"/>
          <w:sz w:val="32"/>
          <w:szCs w:val="32"/>
          <w:highlight w:val="none"/>
          <w:lang w:val="en-US" w:eastAsia="zh-CN"/>
        </w:rPr>
        <w:t>到2028年，元宇宙空间计算引擎支持亿级面片实时渲染，帧率不少于60fps，内存降低不少于50%（以项目启动时基准版本内存占用为考核基数），分布式同步时延不大于20ms，支持不少于10000人并发，兼容主流平台与终端，国产化适配率不少于95%，性能达国际同类先进水平，实现大场景模型轻量化压缩率不少于60%、渲染算力开销降低不少于40%、加载速度提升不少于50%。研制自主空间计算引擎1套，支撑行业应用不少于10个，知识产权不少于10项，牵头/参与相关国家/行业标准不少于2项，提升国产化替代率。</w:t>
      </w:r>
    </w:p>
    <w:p>
      <w:pPr>
        <w:spacing w:line="580" w:lineRule="exact"/>
        <w:ind w:firstLine="642" w:firstLineChars="200"/>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2. </w:t>
      </w:r>
      <w:r>
        <w:rPr>
          <w:rFonts w:hint="default" w:ascii="Times New Roman" w:hAnsi="Times New Roman" w:eastAsia="仿宋_GB2312" w:cs="Times New Roman"/>
          <w:b/>
          <w:bCs/>
          <w:kern w:val="0"/>
          <w:sz w:val="32"/>
          <w:szCs w:val="32"/>
          <w:highlight w:val="none"/>
          <w:lang w:val="en-US" w:eastAsia="zh-CN"/>
        </w:rPr>
        <w:t>工业制造元宇宙全流程数字孪生与智能运维平台</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揭榜任务</w:t>
      </w:r>
      <w:r>
        <w:rPr>
          <w:rFonts w:hint="default" w:ascii="Times New Roman" w:hAnsi="Times New Roman" w:eastAsia="仿宋_GB2312" w:cs="Times New Roman"/>
          <w:kern w:val="0"/>
          <w:sz w:val="32"/>
          <w:szCs w:val="32"/>
          <w:highlight w:val="none"/>
          <w:lang w:val="en-US" w:eastAsia="zh-CN"/>
        </w:rPr>
        <w:t>：研发“设备—产线—车间—工厂”四级孪生建模与实时同步技术，突破工艺仿真、产线调试、质量检测、物料配送虚实融合技术，构建“订单—计划—生产—物流”闭环柔性管控与智能决策机制，研制制造元宇宙平台，支撑多品种变批量生产与跨厂区协同。</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kern w:val="0"/>
          <w:sz w:val="32"/>
          <w:szCs w:val="32"/>
          <w:highlight w:val="none"/>
          <w:lang w:val="en-US" w:eastAsia="zh-CN"/>
        </w:rPr>
        <w:t>到2028年，工业制造元宇宙全流程数字孪生与智能运维平台孪生建模精度不大于0.1mm，特征还原准确度不少于99.5%，虚实同步时延不大于20ms，支持不少于200台设备联动，产线调试周期缩短不少于50%，不良率降低不少于40%，产能利用率提升不少于30%，支持不少于15类场景仿真，面向切削/焊接/装配/成型/参数匹配等核心制造工艺，AI工艺优化准确率不少于96%，平台稳定性不少于99.95%，兼容MES/ERP系统。研制工业制造元宇宙全流程数字孪生与智能运维平台1套，在汽车、装备制造不少于1个行业头部企业示范，知识产权不少于7项，牵头/参与相关国家/行业标准不少于2项，形成可复制解决方案，带动产线智能化改造。</w:t>
      </w:r>
    </w:p>
    <w:p>
      <w:pPr>
        <w:spacing w:line="580" w:lineRule="exact"/>
        <w:ind w:firstLine="642" w:firstLineChars="200"/>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3. </w:t>
      </w:r>
      <w:r>
        <w:rPr>
          <w:rFonts w:hint="default" w:ascii="Times New Roman" w:hAnsi="Times New Roman" w:eastAsia="仿宋_GB2312" w:cs="Times New Roman"/>
          <w:b/>
          <w:bCs/>
          <w:kern w:val="0"/>
          <w:sz w:val="32"/>
          <w:szCs w:val="32"/>
          <w:highlight w:val="none"/>
          <w:lang w:val="en-US" w:eastAsia="zh-CN"/>
        </w:rPr>
        <w:t>城市交通元宇宙协同管控平台</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揭榜任务</w:t>
      </w:r>
      <w:r>
        <w:rPr>
          <w:rFonts w:hint="default" w:ascii="Times New Roman" w:hAnsi="Times New Roman" w:eastAsia="仿宋_GB2312" w:cs="Times New Roman"/>
          <w:kern w:val="0"/>
          <w:sz w:val="32"/>
          <w:szCs w:val="32"/>
          <w:highlight w:val="none"/>
          <w:lang w:val="en-US" w:eastAsia="zh-CN"/>
        </w:rPr>
        <w:t>：构建“人—车—路—环境—信号”五层交通孪生表征体系，实现全域统一建模与动态映射，研发拥堵、事故、极端天气等多场景实时推演与干预技术，突破多智能体协同调度、信号自适应优化、车路云一体化决策方法，研发交通元宇宙管控平台，支撑拥堵治理、应急调度、绿色出行。</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kern w:val="0"/>
          <w:sz w:val="32"/>
          <w:szCs w:val="32"/>
          <w:highlight w:val="none"/>
          <w:lang w:val="en-US" w:eastAsia="zh-CN"/>
        </w:rPr>
        <w:t>到2028年，城市交通元宇宙协同管控平台支持路口不少于5000个、车辆实时孪生同步不少于10万辆，时延不大于500ms，支持不少于30类场景推演，每类场景单次响应时间不大于3分钟、预测准确率不少于92%、信号配时优化率不少于30%，通行效率提升不少于25%，决策校核通过率不少于90%，兼容不少于25类物联网协议，平台可用性不少于99.9%。研制城市交通元宇宙协同管控平台1套，在主干道、枢纽片区不少于2类场景示范，知识产权不少于6项，牵头/参与相关国家/行业标准不少于2项，实现交通管控降本增效，支撑智慧交通规模化落地。</w:t>
      </w:r>
    </w:p>
    <w:p>
      <w:pPr>
        <w:spacing w:line="580" w:lineRule="exact"/>
        <w:ind w:firstLine="642" w:firstLineChars="200"/>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4. </w:t>
      </w:r>
      <w:r>
        <w:rPr>
          <w:rFonts w:hint="default" w:ascii="Times New Roman" w:hAnsi="Times New Roman" w:eastAsia="仿宋_GB2312" w:cs="Times New Roman"/>
          <w:b/>
          <w:bCs/>
          <w:kern w:val="0"/>
          <w:sz w:val="32"/>
          <w:szCs w:val="32"/>
          <w:highlight w:val="none"/>
          <w:lang w:val="en-US" w:eastAsia="zh-CN"/>
        </w:rPr>
        <w:t>应急管理元宇宙模拟推演与联动指挥平台</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揭榜任务</w:t>
      </w:r>
      <w:r>
        <w:rPr>
          <w:rFonts w:hint="default" w:ascii="Times New Roman" w:hAnsi="Times New Roman" w:eastAsia="仿宋_GB2312" w:cs="Times New Roman"/>
          <w:kern w:val="0"/>
          <w:sz w:val="32"/>
          <w:szCs w:val="32"/>
          <w:highlight w:val="none"/>
          <w:lang w:val="en-US" w:eastAsia="zh-CN"/>
        </w:rPr>
        <w:t>：构建城市建筑、交通、管网、人口、资源全域应急孪生体系，研发多灾种耦合、跨区域联动、全流程推演与智能决策，突破多部门协同指挥、资源调度、灾情评估、恢复技术，研制应急元宇宙平台，提升应急处置能力。</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kern w:val="0"/>
          <w:sz w:val="32"/>
          <w:szCs w:val="32"/>
          <w:highlight w:val="none"/>
          <w:lang w:val="en-US" w:eastAsia="zh-CN"/>
        </w:rPr>
        <w:t>到2028年，应急管理元宇宙模拟推演与联动指挥平台支持不少于30类突发事件推演，响应时间不大于5分钟，精度不少于93%，指挥联动时延不大于1分钟，资源调度优化率不少于85%，灾情评估准确率不少于95%，处置时间缩短不少于50%，平台可用率不少于99.99%，支持断网应急。研制应急管理元宇宙模拟推演与联动指挥平台1套，在地级以上应急部门示范，知识产权不少于6项，牵头/参与相关国家/行业标准不少于2项，显著提升防灾减灾与救援能力。</w:t>
      </w:r>
    </w:p>
    <w:p>
      <w:pPr>
        <w:spacing w:line="580" w:lineRule="exact"/>
        <w:ind w:firstLine="642" w:firstLineChars="200"/>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5. </w:t>
      </w:r>
      <w:r>
        <w:rPr>
          <w:rFonts w:hint="default" w:ascii="Times New Roman" w:hAnsi="Times New Roman" w:eastAsia="仿宋_GB2312" w:cs="Times New Roman"/>
          <w:b/>
          <w:bCs/>
          <w:kern w:val="0"/>
          <w:sz w:val="32"/>
          <w:szCs w:val="32"/>
          <w:highlight w:val="none"/>
          <w:lang w:val="en-US" w:eastAsia="zh-CN"/>
        </w:rPr>
        <w:t>矿山元宇宙无人化开采与安全管控平台</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揭榜任务</w:t>
      </w:r>
      <w:r>
        <w:rPr>
          <w:rFonts w:hint="default" w:ascii="Times New Roman" w:hAnsi="Times New Roman" w:eastAsia="仿宋_GB2312" w:cs="Times New Roman"/>
          <w:kern w:val="0"/>
          <w:sz w:val="32"/>
          <w:szCs w:val="32"/>
          <w:highlight w:val="none"/>
          <w:lang w:val="en-US" w:eastAsia="zh-CN"/>
        </w:rPr>
        <w:t>：构建矿井/采场/设备/人员全要素矿山元宇宙孪生与动态感知体系，研发瓦斯、水害、顶板等灾害元宇宙沉浸式推演与智能预警，突破无人设备、机器人、无人机虚实协同与自主调度，研制矿山元宇宙平台，实现少人/无人开采与安全管控。</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kern w:val="0"/>
          <w:sz w:val="32"/>
          <w:szCs w:val="32"/>
          <w:highlight w:val="none"/>
          <w:lang w:val="en-US" w:eastAsia="zh-CN"/>
        </w:rPr>
        <w:t>到2028年，矿山元宇宙无人化开采与安全管控平台井下定位精度不大于10cm，同步时延不大于50ms，支持不少于50台设备协同，预警准确率不少于99%，事故率降低不少于80%，效率提升不少于40%，支持不少于20类灾害推演，适应井下恶劣环境，无人作业覆盖率不少于60%。研制矿山元宇宙无人化开采与安全管控平台1套，在金属矿/煤矿不少于1个示范，知识产权不少于7项，牵头/参与相关国家/行业标准不少于2项，大幅减少井下人员，提升安全水平。</w:t>
      </w:r>
    </w:p>
    <w:p>
      <w:pPr>
        <w:spacing w:line="580" w:lineRule="exact"/>
        <w:ind w:firstLine="642" w:firstLineChars="200"/>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6. </w:t>
      </w:r>
      <w:r>
        <w:rPr>
          <w:rFonts w:hint="default" w:ascii="Times New Roman" w:hAnsi="Times New Roman" w:eastAsia="仿宋_GB2312" w:cs="Times New Roman"/>
          <w:b/>
          <w:bCs/>
          <w:kern w:val="0"/>
          <w:sz w:val="32"/>
          <w:szCs w:val="32"/>
          <w:highlight w:val="none"/>
          <w:lang w:val="en-US" w:eastAsia="zh-CN"/>
        </w:rPr>
        <w:t>元宇宙沉浸式职业技能实训与考核认证平台</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揭榜任务</w:t>
      </w:r>
      <w:r>
        <w:rPr>
          <w:rFonts w:hint="default" w:ascii="Times New Roman" w:hAnsi="Times New Roman" w:eastAsia="仿宋_GB2312" w:cs="Times New Roman"/>
          <w:kern w:val="0"/>
          <w:sz w:val="32"/>
          <w:szCs w:val="32"/>
          <w:highlight w:val="none"/>
          <w:lang w:val="en-US" w:eastAsia="zh-CN"/>
        </w:rPr>
        <w:t>：研发高逼真工业/电力/轨道交通/医疗实训场景内容生成技术，突破多模态交互、动作捕捉、操作纠错、智能评分技术，构建虚实结合、过程可追溯、量化考核认证体系，搭建云端平台，支持大规模并发与跨区域共享。</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kern w:val="0"/>
          <w:sz w:val="32"/>
          <w:szCs w:val="32"/>
          <w:highlight w:val="none"/>
          <w:lang w:val="en-US" w:eastAsia="zh-CN"/>
        </w:rPr>
        <w:t>到2028年，元宇宙沉浸式职业技能实训与考核认证平台场景渲染帧率不少于60fps，交互时延不大于20ms，动作捕捉精度不大于5mm，支持不少于20类岗位场景，智能考核准确率不少于95%，纠错覆盖率不少于98%，支持不少于500人并发，平台稳定率不少于99.9%，实训效果达标率较传统提升不少于60%。研制元宇宙沉浸式职业技能实训与考核认证平台1套，在职校/企业培训中心不少于2类场景落地，知识产权不少于6项，牵头/参与相关国家/行业标准不少于2项，年服务人次不少于2000人，形成规模化实训服务能力。</w:t>
      </w:r>
    </w:p>
    <w:p>
      <w:pPr>
        <w:spacing w:line="580" w:lineRule="exact"/>
        <w:ind w:firstLine="642" w:firstLineChars="200"/>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7. </w:t>
      </w:r>
      <w:r>
        <w:rPr>
          <w:rFonts w:hint="default" w:ascii="Times New Roman" w:hAnsi="Times New Roman" w:eastAsia="仿宋_GB2312" w:cs="Times New Roman"/>
          <w:b/>
          <w:bCs/>
          <w:kern w:val="0"/>
          <w:sz w:val="32"/>
          <w:szCs w:val="32"/>
          <w:highlight w:val="none"/>
          <w:lang w:val="en-US" w:eastAsia="zh-CN"/>
        </w:rPr>
        <w:t>文旅消费元宇宙沉浸式体验与智能运营平台</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揭榜任务</w:t>
      </w:r>
      <w:r>
        <w:rPr>
          <w:rFonts w:hint="default" w:ascii="Times New Roman" w:hAnsi="Times New Roman" w:eastAsia="仿宋_GB2312" w:cs="Times New Roman"/>
          <w:kern w:val="0"/>
          <w:sz w:val="32"/>
          <w:szCs w:val="32"/>
          <w:highlight w:val="none"/>
          <w:lang w:val="en-US" w:eastAsia="zh-CN"/>
        </w:rPr>
        <w:t>：研发景区/文博/演艺高逼真孪生与沉浸式内容生成技术，突破VR/AR/MR适配、虚实互动、智能导览、情感推荐技术，构建客流调控、消费转化、内容迭代智能运营体系，搭建文旅元宇宙平台，实现体验与商业化闭环。</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kern w:val="0"/>
          <w:sz w:val="32"/>
          <w:szCs w:val="32"/>
          <w:highlight w:val="none"/>
          <w:lang w:val="en-US" w:eastAsia="zh-CN"/>
        </w:rPr>
        <w:t>到2028年，文旅消费元宇宙沉浸式体验与智能运营平台场景还原度不少于95%，支持不少于1000人同场景交互，时延不大于20ms，智能导览覆盖率100%，用户满意度不少于90%，客流提升不少于100%，内容生成周期缩短不少于70%，多终端无缝切换，平台稳定性不少于99.9%。研制文旅消费元宇宙沉浸式体验与智能运营平台1套，在4A景区/文博场馆不少于1个落地，知识产权不少于5项，牵头/参与相关国家/行业标准不少于2项，形成可复制模式。</w:t>
      </w:r>
    </w:p>
    <w:p>
      <w:pPr>
        <w:spacing w:line="580" w:lineRule="exact"/>
        <w:ind w:firstLine="642" w:firstLineChars="200"/>
        <w:outlineLvl w:val="3"/>
        <w:rPr>
          <w:rFonts w:hint="default" w:ascii="Times New Roman" w:hAnsi="Times New Roman" w:eastAsia="仿宋_GB2312" w:cs="Times New Roman"/>
          <w:b/>
          <w:bCs/>
          <w:kern w:val="0"/>
          <w:sz w:val="32"/>
          <w:szCs w:val="32"/>
          <w:highlight w:val="none"/>
          <w:lang w:val="en-US" w:eastAsia="zh-CN"/>
        </w:rPr>
      </w:pPr>
      <w:r>
        <w:rPr>
          <w:rFonts w:hint="default" w:ascii="Times New Roman" w:hAnsi="Times New Roman" w:cs="Times New Roman"/>
          <w:b/>
          <w:bCs/>
          <w:kern w:val="0"/>
          <w:sz w:val="32"/>
          <w:szCs w:val="32"/>
          <w:highlight w:val="none"/>
          <w:lang w:val="en-US" w:eastAsia="zh-CN"/>
        </w:rPr>
        <w:t xml:space="preserve">8. </w:t>
      </w:r>
      <w:r>
        <w:rPr>
          <w:rFonts w:hint="default" w:ascii="Times New Roman" w:hAnsi="Times New Roman" w:eastAsia="仿宋_GB2312" w:cs="Times New Roman"/>
          <w:b/>
          <w:bCs/>
          <w:kern w:val="0"/>
          <w:sz w:val="32"/>
          <w:szCs w:val="32"/>
          <w:highlight w:val="none"/>
          <w:lang w:val="en-US" w:eastAsia="zh-CN"/>
        </w:rPr>
        <w:t>医疗健康元宇宙远程诊疗与精准手术规划平台</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揭榜任务</w:t>
      </w:r>
      <w:r>
        <w:rPr>
          <w:rFonts w:hint="default" w:ascii="Times New Roman" w:hAnsi="Times New Roman" w:eastAsia="仿宋_GB2312" w:cs="Times New Roman"/>
          <w:kern w:val="0"/>
          <w:sz w:val="32"/>
          <w:szCs w:val="32"/>
          <w:highlight w:val="none"/>
          <w:lang w:val="en-US" w:eastAsia="zh-CN"/>
        </w:rPr>
        <w:t>：研发人体器官/病灶高精度孪生与动态建模技术，突破远程沉浸式会诊、术前模拟、术中精准导航技术，构建多学科协同、安全合规的医疗元宇宙体系，研制医疗元宇宙平台，支撑会诊、规划、教学。</w:t>
      </w:r>
    </w:p>
    <w:p>
      <w:pPr>
        <w:spacing w:line="580" w:lineRule="exact"/>
        <w:ind w:firstLine="642" w:firstLineChars="200"/>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b/>
          <w:bCs/>
          <w:kern w:val="0"/>
          <w:sz w:val="32"/>
          <w:szCs w:val="32"/>
          <w:highlight w:val="none"/>
          <w:lang w:val="en-US" w:eastAsia="zh-CN"/>
        </w:rPr>
        <w:t>预期目标：</w:t>
      </w:r>
      <w:r>
        <w:rPr>
          <w:rFonts w:hint="default" w:ascii="Times New Roman" w:hAnsi="Times New Roman" w:eastAsia="仿宋_GB2312" w:cs="Times New Roman"/>
          <w:kern w:val="0"/>
          <w:sz w:val="32"/>
          <w:szCs w:val="32"/>
          <w:highlight w:val="none"/>
          <w:lang w:val="en-US" w:eastAsia="zh-CN"/>
        </w:rPr>
        <w:t>到2028年，医疗健康元宇宙远程诊疗与精准手术规划平台器官建模精度不大于0.2mm，虚实同步时延不大于15ms，4K/60fps会诊，术前规划准确率不少于98%，手术时间缩短不少于25%，并发症降低不少于30%，支持不少于15类手术模拟，符合数据安全合规，平台可用性不少于99.95%。研制医疗健康元宇宙远程诊疗与精准手术规划平台1套，在三甲医院示范不少于1个，知识产权不少于6项，牵头/参与相关国家/行业标准不少于2项，提升远程诊疗可及性与手术精准化水平。</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（二）申报要求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cs="Times New Roman"/>
          <w:b/>
          <w:bCs/>
          <w:sz w:val="32"/>
          <w:szCs w:val="32"/>
          <w:highlight w:val="none"/>
          <w:lang w:val="en-US" w:eastAsia="zh-CN"/>
        </w:rPr>
        <w:t>1. 申报方式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符合条件的申报单位应填写申报材料，盖章后于2026年</w:t>
      </w:r>
      <w:r>
        <w:rPr>
          <w:rFonts w:hint="eastAsia" w:ascii="Times New Roman" w:hAnsi="Times New Roman" w:cs="Times New Roman"/>
          <w:sz w:val="32"/>
          <w:szCs w:val="32"/>
          <w:highlight w:val="none"/>
          <w:lang w:val="en-US" w:eastAsia="zh-CN"/>
        </w:rPr>
        <w:t>8月21日</w:t>
      </w:r>
      <w:r>
        <w:rPr>
          <w:rFonts w:hint="default" w:ascii="Times New Roman" w:hAnsi="Times New Roman" w:eastAsia="仿宋_GB2312" w:cs="Times New Roman"/>
          <w:sz w:val="32"/>
          <w:szCs w:val="32"/>
          <w:highlight w:val="none"/>
          <w:lang w:val="en-US" w:eastAsia="zh-CN"/>
        </w:rPr>
        <w:t>前报送至推荐单位。申报期结束后，推荐单位应汇总申报材料，填写《2026年工业和信息化领域创新任务揭榜单位推荐汇总表》并盖章，将推荐汇总表及拟推荐申报材料（可编辑版和扫描件）于2026年</w:t>
      </w:r>
      <w:r>
        <w:rPr>
          <w:rFonts w:hint="eastAsia" w:ascii="Times New Roman" w:hAnsi="Times New Roman" w:cs="Times New Roman"/>
          <w:sz w:val="32"/>
          <w:szCs w:val="32"/>
          <w:highlight w:val="none"/>
          <w:lang w:val="en-US" w:eastAsia="zh-CN"/>
        </w:rPr>
        <w:t>9月7日</w:t>
      </w:r>
      <w:r>
        <w:rPr>
          <w:rFonts w:hint="default" w:ascii="Times New Roman" w:hAnsi="Times New Roman" w:eastAsia="仿宋_GB2312" w:cs="Times New Roman"/>
          <w:sz w:val="32"/>
          <w:szCs w:val="32"/>
          <w:highlight w:val="none"/>
          <w:lang w:val="en-US" w:eastAsia="zh-CN"/>
        </w:rPr>
        <w:t>前发送至电子邮箱：</w:t>
      </w:r>
      <w:r>
        <w:rPr>
          <w:rFonts w:hint="eastAsia" w:ascii="Times New Roman" w:hAnsi="Times New Roman" w:cs="Times New Roman"/>
          <w:sz w:val="32"/>
          <w:szCs w:val="32"/>
          <w:highlight w:val="none"/>
          <w:lang w:val="en-US" w:eastAsia="zh-CN"/>
        </w:rPr>
        <w:t>wangdw</w:t>
      </w:r>
      <w:r>
        <w:rPr>
          <w:rFonts w:hint="default" w:ascii="Times New Roman" w:hAnsi="Times New Roman" w:eastAsia="仿宋_GB2312" w:cs="Times New Roman"/>
          <w:sz w:val="32"/>
          <w:szCs w:val="32"/>
          <w:highlight w:val="none"/>
          <w:lang w:val="en-US" w:eastAsia="zh-CN"/>
        </w:rPr>
        <w:t>@cesi.cn。</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cs="Times New Roman"/>
          <w:b/>
          <w:bCs/>
          <w:sz w:val="32"/>
          <w:szCs w:val="32"/>
          <w:highlight w:val="none"/>
          <w:lang w:val="en-US" w:eastAsia="zh-CN"/>
        </w:rPr>
        <w:t>2. 推荐数量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cs="Times New Roman"/>
          <w:sz w:val="32"/>
          <w:szCs w:val="32"/>
          <w:highlight w:val="none"/>
          <w:lang w:val="en-US" w:eastAsia="zh-CN"/>
        </w:rPr>
        <w:t>本</w:t>
      </w:r>
      <w:r>
        <w:rPr>
          <w:rFonts w:hint="default" w:ascii="Times New Roman" w:hAnsi="Times New Roman" w:eastAsia="仿宋_GB2312" w:cs="Times New Roman"/>
          <w:sz w:val="32"/>
          <w:szCs w:val="32"/>
          <w:highlight w:val="none"/>
          <w:lang w:val="en-US" w:eastAsia="zh-CN"/>
        </w:rPr>
        <w:t>专题</w:t>
      </w:r>
      <w:r>
        <w:rPr>
          <w:rFonts w:hint="default" w:ascii="Times New Roman" w:hAnsi="Times New Roman" w:cs="Times New Roman"/>
          <w:sz w:val="32"/>
          <w:szCs w:val="32"/>
          <w:highlight w:val="none"/>
          <w:lang w:val="en-US" w:eastAsia="zh-CN"/>
        </w:rPr>
        <w:t>下，每个地方工业和信息化主管部门推荐单位的</w:t>
      </w:r>
      <w:r>
        <w:rPr>
          <w:rFonts w:hint="default" w:ascii="Times New Roman" w:hAnsi="Times New Roman" w:eastAsia="仿宋_GB2312" w:cs="Times New Roman"/>
          <w:sz w:val="32"/>
          <w:szCs w:val="32"/>
          <w:highlight w:val="none"/>
          <w:lang w:val="en-US" w:eastAsia="zh-CN"/>
        </w:rPr>
        <w:t>推荐数量不多于</w:t>
      </w:r>
      <w:r>
        <w:rPr>
          <w:rFonts w:hint="default" w:ascii="Times New Roman" w:hAnsi="Times New Roman" w:cs="Times New Roman"/>
          <w:sz w:val="32"/>
          <w:szCs w:val="32"/>
          <w:highlight w:val="none"/>
          <w:lang w:val="en-US" w:eastAsia="zh-CN"/>
        </w:rPr>
        <w:t>20</w:t>
      </w:r>
      <w:r>
        <w:rPr>
          <w:rFonts w:hint="default" w:ascii="Times New Roman" w:hAnsi="Times New Roman" w:eastAsia="仿宋_GB2312" w:cs="Times New Roman"/>
          <w:sz w:val="32"/>
          <w:szCs w:val="32"/>
          <w:highlight w:val="none"/>
          <w:lang w:val="en-US" w:eastAsia="zh-CN"/>
        </w:rPr>
        <w:t>个，每个央企</w:t>
      </w:r>
      <w:r>
        <w:rPr>
          <w:rFonts w:hint="default" w:ascii="Times New Roman" w:hAnsi="Times New Roman" w:cs="Times New Roman"/>
          <w:sz w:val="32"/>
          <w:szCs w:val="32"/>
          <w:highlight w:val="none"/>
          <w:lang w:val="en-US" w:eastAsia="zh-CN"/>
        </w:rPr>
        <w:t>推荐单位的</w:t>
      </w:r>
      <w:r>
        <w:rPr>
          <w:rFonts w:hint="default" w:ascii="Times New Roman" w:hAnsi="Times New Roman" w:eastAsia="仿宋_GB2312" w:cs="Times New Roman"/>
          <w:sz w:val="32"/>
          <w:szCs w:val="32"/>
          <w:highlight w:val="none"/>
          <w:lang w:val="en-US" w:eastAsia="zh-CN"/>
        </w:rPr>
        <w:t>推荐数量不多于</w:t>
      </w:r>
      <w:r>
        <w:rPr>
          <w:rFonts w:hint="default"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个。</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（三）联系方式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工业和信息化部</w:t>
      </w:r>
      <w:r>
        <w:rPr>
          <w:rFonts w:hint="default" w:ascii="Times New Roman" w:hAnsi="Times New Roman" w:cs="Times New Roman"/>
          <w:sz w:val="32"/>
          <w:szCs w:val="32"/>
          <w:highlight w:val="none"/>
          <w:lang w:val="en-US" w:eastAsia="zh-CN"/>
        </w:rPr>
        <w:t>科技</w:t>
      </w:r>
      <w:r>
        <w:rPr>
          <w:rFonts w:hint="default" w:ascii="Times New Roman" w:hAnsi="Times New Roman" w:eastAsia="仿宋_GB2312" w:cs="Times New Roman"/>
          <w:sz w:val="32"/>
          <w:szCs w:val="32"/>
          <w:highlight w:val="none"/>
          <w:lang w:val="en-US" w:eastAsia="zh-CN"/>
        </w:rPr>
        <w:t>司</w:t>
      </w:r>
    </w:p>
    <w:p>
      <w:pPr>
        <w:ind w:firstLine="640"/>
        <w:rPr>
          <w:rFonts w:hint="default" w:ascii="Times New Roman" w:hAnsi="Times New Roman" w:cs="Times New Roman"/>
          <w:sz w:val="32"/>
          <w:szCs w:val="32"/>
          <w:highlight w:val="none"/>
          <w:lang w:val="en-US" w:eastAsia="zh-CN"/>
        </w:rPr>
      </w:pPr>
      <w:r>
        <w:rPr>
          <w:rFonts w:hint="default" w:ascii="Times New Roman" w:hAnsi="Times New Roman" w:cs="Times New Roman"/>
          <w:sz w:val="32"/>
          <w:szCs w:val="32"/>
          <w:highlight w:val="none"/>
          <w:lang w:val="en-US" w:eastAsia="zh-CN"/>
        </w:rPr>
        <w:t>马鹏玮</w:t>
      </w:r>
      <w:r>
        <w:rPr>
          <w:rFonts w:hint="default" w:ascii="Times New Roman" w:hAnsi="Times New Roman" w:eastAsia="仿宋_GB2312" w:cs="Times New Roman"/>
          <w:sz w:val="32"/>
          <w:szCs w:val="32"/>
          <w:highlight w:val="none"/>
          <w:lang w:val="en-US" w:eastAsia="zh-CN"/>
        </w:rPr>
        <w:t xml:space="preserve">  010-6820</w:t>
      </w:r>
      <w:r>
        <w:rPr>
          <w:rFonts w:hint="default" w:ascii="Times New Roman" w:hAnsi="Times New Roman" w:cs="Times New Roman"/>
          <w:sz w:val="32"/>
          <w:szCs w:val="32"/>
          <w:highlight w:val="none"/>
          <w:lang w:val="en-US" w:eastAsia="zh-CN"/>
        </w:rPr>
        <w:t>5250</w:t>
      </w:r>
    </w:p>
    <w:p>
      <w:pPr>
        <w:ind w:firstLine="640"/>
        <w:rPr>
          <w:rFonts w:hint="default" w:ascii="Times New Roman" w:hAnsi="Times New Roman" w:cs="Times New Roman"/>
          <w:sz w:val="32"/>
          <w:szCs w:val="32"/>
          <w:highlight w:val="none"/>
          <w:lang w:val="en-US" w:eastAsia="zh-CN"/>
        </w:rPr>
      </w:pPr>
      <w:r>
        <w:rPr>
          <w:rFonts w:hint="default" w:ascii="Times New Roman" w:hAnsi="Times New Roman" w:cs="Times New Roman"/>
          <w:sz w:val="32"/>
          <w:szCs w:val="32"/>
          <w:highlight w:val="none"/>
          <w:lang w:val="en-US" w:eastAsia="zh-CN"/>
        </w:rPr>
        <w:t>中国电子技术标准化研究院</w:t>
      </w:r>
    </w:p>
    <w:p>
      <w:pPr>
        <w:ind w:firstLine="640"/>
        <w:rPr>
          <w:rFonts w:hint="default" w:ascii="Times New Roman" w:hAnsi="Times New Roman" w:cs="Times New Roman"/>
          <w:sz w:val="32"/>
          <w:szCs w:val="32"/>
          <w:highlight w:val="none"/>
          <w:lang w:val="en-US" w:eastAsia="zh-CN"/>
        </w:rPr>
      </w:pPr>
      <w:r>
        <w:rPr>
          <w:rFonts w:hint="default" w:ascii="Times New Roman" w:hAnsi="Times New Roman" w:cs="Times New Roman"/>
          <w:sz w:val="32"/>
          <w:szCs w:val="32"/>
          <w:highlight w:val="none"/>
          <w:lang w:val="en-US" w:eastAsia="zh-CN"/>
        </w:rPr>
        <w:t>王典威  010-64102840</w:t>
      </w:r>
    </w:p>
    <w:p>
      <w:pPr>
        <w:ind w:firstLine="640"/>
        <w:rPr>
          <w:rFonts w:hint="default" w:ascii="Times New Roman" w:hAnsi="Times New Roman" w:cs="Times New Roman"/>
          <w:sz w:val="32"/>
          <w:szCs w:val="32"/>
          <w:highlight w:val="none"/>
          <w:lang w:val="en-US" w:eastAsia="zh-CN"/>
        </w:rPr>
      </w:pPr>
    </w:p>
    <w:p>
      <w:pPr>
        <w:ind w:firstLine="640"/>
        <w:rPr>
          <w:rFonts w:hint="default" w:ascii="Times New Roman" w:hAnsi="Times New Roman" w:cs="Times New Roman"/>
          <w:sz w:val="32"/>
          <w:szCs w:val="32"/>
          <w:highlight w:val="none"/>
          <w:lang w:val="en-US" w:eastAsia="zh-CN"/>
        </w:rPr>
        <w:sectPr>
          <w:headerReference r:id="rId8"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四、“金融信息技术”专题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（一）攻关任务指南</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bCs/>
          <w:kern w:val="2"/>
          <w:sz w:val="32"/>
          <w:szCs w:val="32"/>
        </w:rPr>
      </w:pPr>
      <w:r>
        <w:rPr>
          <w:rFonts w:hint="default" w:ascii="Times New Roman" w:hAnsi="Times New Roman" w:eastAsia="仿宋_GB2312" w:cs="Times New Roman"/>
          <w:b/>
          <w:bCs/>
          <w:kern w:val="2"/>
          <w:sz w:val="32"/>
          <w:szCs w:val="32"/>
          <w:lang w:val="en-US" w:eastAsia="zh-CN" w:bidi="ar"/>
        </w:rPr>
        <w:t>1. 银行业金融市场系统</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cs="Times New Roman"/>
          <w:b/>
          <w:bCs/>
          <w:kern w:val="2"/>
          <w:sz w:val="32"/>
          <w:szCs w:val="32"/>
          <w:lang w:val="en-US" w:eastAsia="zh-CN" w:bidi="ar"/>
        </w:rPr>
        <w:t>揭榜任务</w:t>
      </w:r>
      <w:r>
        <w:rPr>
          <w:rFonts w:hint="default" w:ascii="Times New Roman" w:hAnsi="Times New Roman" w:eastAsia="仿宋_GB2312" w:cs="Times New Roman"/>
          <w:b/>
          <w:bCs/>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聚焦全球银行业金融市场领域，开展跨资产、跨市场系统研发攻关，突破关键技术壁垒，构建符合国际通行与国内监管规则的金融科技基础设施。研发符合全球及国内金融市场规则（包括货币市场、外汇及衍生品、固定收益及衍生品、利率衍生品、信用衍生品、商品、贵金属及结构式商品等金融市场产品）跨资产跨市场的定价模型、估值模型、风险模型等核心计量引擎。实现对上述金融市场产品的交易定价、交易与资产估值、交易管理、信用与市场风险管理、风险计量、资本计量等核心黑盒模块的攻关与突破。适配国内外金融市场清算规则，构建标准化清算体系；兼容IAS39、IFRS9等国际会计准则及国内金融核算规范，实现全品类金融产品清算与会计核算一体化处理。</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到2027年，形成标准化可复用的金融市场系统产品，具备持续替代升级能力；至少落地1</w:t>
      </w:r>
      <w:r>
        <w:rPr>
          <w:rFonts w:hint="eastAsia" w:ascii="Times New Roman" w:hAnsi="Times New Roman" w:cs="Times New Roman"/>
          <w:kern w:val="2"/>
          <w:sz w:val="32"/>
          <w:szCs w:val="32"/>
          <w:lang w:val="en-US" w:eastAsia="zh-CN" w:bidi="ar"/>
        </w:rPr>
        <w:t>个</w:t>
      </w:r>
      <w:r>
        <w:rPr>
          <w:rFonts w:hint="default" w:ascii="Times New Roman" w:hAnsi="Times New Roman" w:eastAsia="仿宋_GB2312" w:cs="Times New Roman"/>
          <w:kern w:val="2"/>
          <w:sz w:val="32"/>
          <w:szCs w:val="32"/>
          <w:lang w:val="en-US" w:eastAsia="zh-CN" w:bidi="ar"/>
        </w:rPr>
        <w:t>金融业应用案例（国际金融市场和国内金融市场）。系统支持金融市场并发用户200以上，交易接入峰值处理能力高于500笔/秒（TPS），峰值压力下平均响应时间小于1秒，支持日均处理交易不小于3万笔，单日最高处理能力不低于15万笔。系统支持双活部署架构，双数据中心同步处理交易，网络良好状态下系统RPO等于0（数据零丢失）、RTO小于5分钟（快速回复），系统可用性不低于99.99%。系统支持前中后台一体化架构，保障交易、估值、风险数据一致性与工作流全生命周期合规。系统业务直通式自动化处理率100%，覆盖交易录入、合规风控、审批、清算、核算全流程，减少人工干预，提升业务处理效率。系统核心代码自研比例不低于90%。系统适配通过</w:t>
      </w:r>
      <w:r>
        <w:rPr>
          <w:rFonts w:hint="eastAsia" w:ascii="Times New Roman" w:hAnsi="Times New Roman" w:cs="Times New Roman"/>
          <w:kern w:val="2"/>
          <w:sz w:val="32"/>
          <w:szCs w:val="32"/>
          <w:lang w:val="en-US" w:eastAsia="zh-CN" w:bidi="ar"/>
        </w:rPr>
        <w:t>安全可靠</w:t>
      </w:r>
      <w:r>
        <w:rPr>
          <w:rFonts w:hint="default" w:ascii="Times New Roman" w:hAnsi="Times New Roman" w:eastAsia="仿宋_GB2312" w:cs="Times New Roman"/>
          <w:kern w:val="2"/>
          <w:sz w:val="32"/>
          <w:szCs w:val="32"/>
          <w:lang w:val="en-US" w:eastAsia="zh-CN" w:bidi="ar"/>
        </w:rPr>
        <w:t>测评的操作系统、数据库各不低于</w:t>
      </w:r>
      <w:r>
        <w:rPr>
          <w:rFonts w:hint="eastAsia" w:ascii="Times New Roman" w:hAnsi="Times New Roman" w:cs="Times New Roman"/>
          <w:kern w:val="2"/>
          <w:sz w:val="32"/>
          <w:szCs w:val="32"/>
          <w:lang w:val="en-US" w:eastAsia="zh-CN" w:bidi="ar"/>
        </w:rPr>
        <w:t>5</w:t>
      </w:r>
      <w:r>
        <w:rPr>
          <w:rFonts w:hint="default" w:ascii="Times New Roman" w:hAnsi="Times New Roman" w:eastAsia="仿宋_GB2312" w:cs="Times New Roman"/>
          <w:kern w:val="2"/>
          <w:sz w:val="32"/>
          <w:szCs w:val="32"/>
          <w:lang w:val="en-US" w:eastAsia="zh-CN" w:bidi="ar"/>
        </w:rPr>
        <w:t>款、支持</w:t>
      </w:r>
      <w:r>
        <w:rPr>
          <w:rFonts w:hint="eastAsia" w:ascii="Times New Roman" w:hAnsi="Times New Roman" w:cs="Times New Roman"/>
          <w:kern w:val="2"/>
          <w:sz w:val="32"/>
          <w:szCs w:val="32"/>
          <w:lang w:val="en-US" w:eastAsia="zh-CN" w:bidi="ar"/>
        </w:rPr>
        <w:t>国内</w:t>
      </w:r>
      <w:r>
        <w:rPr>
          <w:rFonts w:hint="default" w:ascii="Times New Roman" w:hAnsi="Times New Roman" w:eastAsia="仿宋_GB2312" w:cs="Times New Roman"/>
          <w:kern w:val="2"/>
          <w:sz w:val="32"/>
          <w:szCs w:val="32"/>
          <w:lang w:val="en-US" w:eastAsia="zh-CN" w:bidi="ar"/>
        </w:rPr>
        <w:t>主流中间件产品。系统链路通信采用国密算法进行加密，关键交易数据落盘加密，密钥管理符合金融行业标准。</w:t>
      </w:r>
    </w:p>
    <w:p>
      <w:pPr>
        <w:keepNext w:val="0"/>
        <w:keepLines w:val="0"/>
        <w:widowControl w:val="0"/>
        <w:suppressLineNumbers w:val="0"/>
        <w:spacing w:before="0" w:beforeAutospacing="0" w:after="0" w:afterAutospacing="0" w:line="580" w:lineRule="exact"/>
        <w:ind w:left="0" w:right="0" w:firstLine="642" w:firstLineChars="200"/>
        <w:jc w:val="both"/>
        <w:outlineLvl w:val="3"/>
        <w:rPr>
          <w:rFonts w:hint="default" w:ascii="Times New Roman" w:hAnsi="Times New Roman" w:eastAsia="仿宋_GB2312" w:cs="Times New Roman"/>
          <w:b/>
          <w:bCs/>
          <w:kern w:val="2"/>
          <w:sz w:val="32"/>
          <w:szCs w:val="32"/>
        </w:rPr>
      </w:pPr>
      <w:r>
        <w:rPr>
          <w:rFonts w:hint="default" w:ascii="Times New Roman" w:hAnsi="Times New Roman" w:eastAsia="仿宋_GB2312" w:cs="Times New Roman"/>
          <w:b/>
          <w:bCs/>
          <w:kern w:val="2"/>
          <w:sz w:val="32"/>
          <w:szCs w:val="32"/>
          <w:lang w:val="en-US" w:eastAsia="zh-CN" w:bidi="ar"/>
        </w:rPr>
        <w:t>2. 证券行业算法交易系统</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cs="Times New Roman"/>
          <w:b/>
          <w:bCs/>
          <w:kern w:val="2"/>
          <w:sz w:val="32"/>
          <w:szCs w:val="32"/>
          <w:lang w:val="en-US" w:eastAsia="zh-CN" w:bidi="ar"/>
        </w:rPr>
        <w:t>揭榜任务</w:t>
      </w:r>
      <w:r>
        <w:rPr>
          <w:rFonts w:hint="default" w:ascii="Times New Roman" w:hAnsi="Times New Roman" w:eastAsia="仿宋_GB2312" w:cs="Times New Roman"/>
          <w:b/>
          <w:bCs/>
          <w:kern w:val="2"/>
          <w:sz w:val="32"/>
          <w:szCs w:val="32"/>
          <w:lang w:val="en-US" w:eastAsia="zh-CN" w:bidi="ar"/>
        </w:rPr>
        <w:t>：</w:t>
      </w:r>
      <w:r>
        <w:rPr>
          <w:rFonts w:hint="default" w:ascii="Times New Roman" w:hAnsi="Times New Roman" w:eastAsia="仿宋_GB2312" w:cs="Times New Roman"/>
          <w:kern w:val="2"/>
          <w:sz w:val="32"/>
          <w:szCs w:val="32"/>
          <w:lang w:val="en-US" w:eastAsia="zh-CN" w:bidi="ar"/>
        </w:rPr>
        <w:t>研发超低延时交易引擎，开发基于通过安全可靠测评处理器的纳秒级时钟同步模块，支持PTP协议时钟漂移补偿，集成RoCEv2网络加速协议；建设算法交易合规化工具链，研制嵌入式风险控制框架，预置监管阈值，支持风控参数模板的动态新增；搭建投研数据中台。完成通过安全可靠测评的操作系统、数据库技术适配，完成通过安全可靠测评芯片指令集扩展优化，降低高频交易场景委托柜台穿透时延；构建毫秒级行情数据多活架构，实现数据流的毫秒级时间戳对齐能力。</w:t>
      </w:r>
    </w:p>
    <w:p>
      <w:pPr>
        <w:keepNext w:val="0"/>
        <w:keepLines w:val="0"/>
        <w:widowControl w:val="0"/>
        <w:suppressLineNumbers w:val="0"/>
        <w:spacing w:before="0" w:beforeAutospacing="0" w:after="0" w:afterAutospacing="0" w:line="580" w:lineRule="exact"/>
        <w:ind w:left="0" w:right="0" w:firstLine="642"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b/>
          <w:bCs/>
          <w:kern w:val="2"/>
          <w:sz w:val="32"/>
          <w:szCs w:val="32"/>
          <w:lang w:val="en-US" w:eastAsia="zh-CN" w:bidi="ar"/>
        </w:rPr>
        <w:t>预期目标：</w:t>
      </w:r>
      <w:r>
        <w:rPr>
          <w:rFonts w:hint="default" w:ascii="Times New Roman" w:hAnsi="Times New Roman" w:eastAsia="仿宋_GB2312" w:cs="Times New Roman"/>
          <w:kern w:val="2"/>
          <w:sz w:val="32"/>
          <w:szCs w:val="32"/>
          <w:lang w:val="en-US" w:eastAsia="zh-CN" w:bidi="ar"/>
        </w:rPr>
        <w:t>到2028年，建成全链路证券行业算法交易系统。系统行情解码吞吐量至少达到600万条/秒，覆盖国内全市场二级金融数据，国内全市场交易时间段系统可用性达到99.999%；硬件环境</w:t>
      </w:r>
      <w:r>
        <w:rPr>
          <w:rFonts w:hint="eastAsia" w:ascii="Times New Roman" w:hAnsi="Times New Roman" w:cs="Times New Roman"/>
          <w:kern w:val="2"/>
          <w:sz w:val="32"/>
          <w:szCs w:val="32"/>
          <w:lang w:val="en-US" w:eastAsia="zh-CN" w:bidi="ar"/>
        </w:rPr>
        <w:t>支持</w:t>
      </w:r>
      <w:r>
        <w:rPr>
          <w:rFonts w:hint="default" w:ascii="Times New Roman" w:hAnsi="Times New Roman" w:eastAsia="仿宋_GB2312" w:cs="Times New Roman"/>
          <w:kern w:val="2"/>
          <w:sz w:val="32"/>
          <w:szCs w:val="32"/>
          <w:lang w:val="en-US" w:eastAsia="zh-CN" w:bidi="ar"/>
        </w:rPr>
        <w:t>极速交易柜台穿透时延不超过10μs，支持与交易所系统的接口功能完整对接。系统实现全面覆盖证券期货行业相关风险监管规则，异常交易识别准确率超过90%。培育至少5家具备全栈交付能力的服务商，形成应用案例。</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kern w:val="2"/>
          <w:sz w:val="32"/>
          <w:szCs w:val="32"/>
        </w:rPr>
      </w:pPr>
      <w:r>
        <w:rPr>
          <w:rFonts w:hint="eastAsia" w:ascii="Times New Roman" w:hAnsi="Times New Roman" w:eastAsia="仿宋_GB2312" w:cs="Times New Roman"/>
          <w:b/>
          <w:kern w:val="2"/>
          <w:sz w:val="32"/>
          <w:szCs w:val="32"/>
          <w:lang w:val="en-US" w:eastAsia="zh-CN" w:bidi="ar"/>
        </w:rPr>
        <w:t xml:space="preserve">3. </w:t>
      </w:r>
      <w:r>
        <w:rPr>
          <w:rFonts w:hint="default" w:ascii="Times New Roman" w:hAnsi="Times New Roman" w:eastAsia="仿宋_GB2312" w:cs="Times New Roman"/>
          <w:b/>
          <w:kern w:val="2"/>
          <w:sz w:val="32"/>
          <w:szCs w:val="32"/>
          <w:lang w:val="en-US" w:eastAsia="zh-CN" w:bidi="ar"/>
        </w:rPr>
        <w:t>高性能交易中间件与消息队列中间件</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9"/>
        <w:rPr>
          <w:rFonts w:hint="default" w:ascii="Times New Roman" w:hAnsi="Times New Roman" w:eastAsia="仿宋_GB2312" w:cs="Times New Roman"/>
          <w:b w:val="0"/>
          <w:kern w:val="2"/>
          <w:sz w:val="32"/>
          <w:szCs w:val="32"/>
        </w:rPr>
      </w:pPr>
      <w:r>
        <w:rPr>
          <w:rFonts w:hint="default" w:ascii="Times New Roman" w:hAnsi="Times New Roman" w:cs="Times New Roman"/>
          <w:b/>
          <w:kern w:val="2"/>
          <w:sz w:val="32"/>
          <w:szCs w:val="32"/>
          <w:lang w:val="en-US" w:eastAsia="zh-CN" w:bidi="ar"/>
        </w:rPr>
        <w:t>揭榜任务</w:t>
      </w:r>
      <w:r>
        <w:rPr>
          <w:rFonts w:hint="default" w:ascii="Times New Roman" w:hAnsi="Times New Roman" w:eastAsia="仿宋_GB2312" w:cs="Times New Roman"/>
          <w:b/>
          <w:kern w:val="2"/>
          <w:sz w:val="32"/>
          <w:szCs w:val="32"/>
          <w:lang w:val="en-US" w:eastAsia="zh-CN" w:bidi="ar"/>
        </w:rPr>
        <w:t>：</w:t>
      </w:r>
      <w:r>
        <w:rPr>
          <w:rFonts w:hint="default" w:ascii="Times New Roman" w:hAnsi="Times New Roman" w:eastAsia="仿宋_GB2312" w:cs="Times New Roman"/>
          <w:b w:val="0"/>
          <w:kern w:val="2"/>
          <w:sz w:val="32"/>
          <w:szCs w:val="32"/>
          <w:lang w:val="en-US" w:eastAsia="zh-CN" w:bidi="ar"/>
        </w:rPr>
        <w:t>研发基于确定性调度的低时延执行引擎，集成硬件卸载与零拷贝网络技术，突破微秒级时延波动控制技术。实现与</w:t>
      </w:r>
      <w:r>
        <w:rPr>
          <w:rFonts w:hint="eastAsia" w:ascii="Times New Roman" w:hAnsi="Times New Roman" w:cs="Times New Roman"/>
          <w:b w:val="0"/>
          <w:kern w:val="2"/>
          <w:sz w:val="32"/>
          <w:szCs w:val="32"/>
          <w:lang w:val="en-US" w:eastAsia="zh-CN" w:bidi="ar"/>
        </w:rPr>
        <w:t>通过安全可靠测评的</w:t>
      </w:r>
      <w:r>
        <w:rPr>
          <w:rFonts w:hint="default" w:ascii="Times New Roman" w:hAnsi="Times New Roman" w:eastAsia="仿宋_GB2312" w:cs="Times New Roman"/>
          <w:b w:val="0"/>
          <w:kern w:val="2"/>
          <w:sz w:val="32"/>
          <w:szCs w:val="32"/>
          <w:lang w:val="en-US" w:eastAsia="zh-CN" w:bidi="ar"/>
        </w:rPr>
        <w:t>数据库事务接口互通，支持在</w:t>
      </w:r>
      <w:r>
        <w:rPr>
          <w:rFonts w:hint="eastAsia" w:ascii="Times New Roman" w:hAnsi="Times New Roman" w:cs="Times New Roman"/>
          <w:b w:val="0"/>
          <w:kern w:val="2"/>
          <w:sz w:val="32"/>
          <w:szCs w:val="32"/>
          <w:lang w:val="en-US" w:eastAsia="zh-CN" w:bidi="ar"/>
        </w:rPr>
        <w:t>国内主流</w:t>
      </w:r>
      <w:r>
        <w:rPr>
          <w:rFonts w:hint="default" w:ascii="Times New Roman" w:hAnsi="Times New Roman" w:eastAsia="仿宋_GB2312" w:cs="Times New Roman"/>
          <w:b w:val="0"/>
          <w:kern w:val="2"/>
          <w:sz w:val="32"/>
          <w:szCs w:val="32"/>
          <w:lang w:val="en-US" w:eastAsia="zh-CN" w:bidi="ar"/>
        </w:rPr>
        <w:t>云平台上部署运行。突破金融级中间件的确定性时延控制、亿级事务一致性保障等关键技术。研制具有自主知识产权的中间件产品及配套工具链。</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9"/>
        <w:rPr>
          <w:rFonts w:hint="default" w:ascii="Times New Roman" w:hAnsi="Times New Roman" w:eastAsia="仿宋_GB2312" w:cs="Times New Roman"/>
          <w:b w:val="0"/>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b w:val="0"/>
          <w:kern w:val="2"/>
          <w:sz w:val="32"/>
          <w:szCs w:val="32"/>
          <w:lang w:val="en-US" w:eastAsia="zh-CN" w:bidi="ar"/>
        </w:rPr>
        <w:t>到2028年，研发形成基于确定性调度的低时延执行引擎，实现端到端处理时延低于35微秒，性能提升54%；构建智能弹性伸缩架构，使单节点峰值处理能力突破80万TIPS，支持百万级突发流量下的资源动态分配，建立覆盖网络中断、节点失效等68种故障场景的弹性容错机制，确保故障自愈响应时间小于200毫秒；形成覆盖4类技术路线的全栈适配体系，支持在通过安全可靠测评的处理器、操作系统产品平台上稳定运行。实现与8款以上主流通过安全可靠测评的数据库事务接口互通。研发形成分布式异构多活架构的消息中间件产品，支持跨地域万级节点集群下28万条/秒的数据传输吞吐量，消息确认时延波动控制在±1.5毫秒范围内，实现99.99</w:t>
      </w:r>
      <w:r>
        <w:rPr>
          <w:rFonts w:hint="eastAsia" w:ascii="Times New Roman" w:hAnsi="Times New Roman" w:cs="Times New Roman"/>
          <w:b w:val="0"/>
          <w:kern w:val="2"/>
          <w:sz w:val="32"/>
          <w:szCs w:val="32"/>
          <w:lang w:val="en-US" w:eastAsia="zh-CN" w:bidi="ar"/>
        </w:rPr>
        <w:t>9</w:t>
      </w:r>
      <w:r>
        <w:rPr>
          <w:rFonts w:hint="default" w:ascii="Times New Roman" w:hAnsi="Times New Roman" w:eastAsia="仿宋_GB2312" w:cs="Times New Roman"/>
          <w:b w:val="0"/>
          <w:kern w:val="2"/>
          <w:sz w:val="32"/>
          <w:szCs w:val="32"/>
          <w:lang w:val="en-US" w:eastAsia="zh-CN" w:bidi="ar"/>
        </w:rPr>
        <w:t>9%的高可用保障；产品应具备适配不少于4类通过安全可靠测评的处理器、操作系统产品平台组合。通过研制报文协议兼容验证平台、交易全链路仿真工具等配套系统，完成与核心交易系统、实时风控平台的深度适配，形成覆盖证券集中竞价、银联清算等12类金融场景的验证规范。</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kern w:val="2"/>
          <w:sz w:val="32"/>
          <w:szCs w:val="32"/>
        </w:rPr>
      </w:pPr>
      <w:r>
        <w:rPr>
          <w:rFonts w:hint="eastAsia" w:ascii="Times New Roman" w:hAnsi="Times New Roman" w:eastAsia="仿宋_GB2312" w:cs="Times New Roman"/>
          <w:b/>
          <w:kern w:val="2"/>
          <w:sz w:val="32"/>
          <w:szCs w:val="32"/>
          <w:lang w:val="en-US" w:eastAsia="zh-CN" w:bidi="ar"/>
        </w:rPr>
        <w:t>4.</w:t>
      </w:r>
      <w:r>
        <w:rPr>
          <w:rFonts w:hint="default" w:ascii="Times New Roman" w:hAnsi="Times New Roman" w:eastAsia="仿宋_GB2312" w:cs="Times New Roman"/>
          <w:b/>
          <w:kern w:val="2"/>
          <w:sz w:val="32"/>
          <w:szCs w:val="32"/>
          <w:lang w:val="en-US" w:eastAsia="zh-CN" w:bidi="ar"/>
        </w:rPr>
        <w:t>高性能文档数据库</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9"/>
        <w:rPr>
          <w:rFonts w:hint="default" w:ascii="Times New Roman" w:hAnsi="Times New Roman" w:eastAsia="仿宋_GB2312" w:cs="Times New Roman"/>
          <w:b w:val="0"/>
          <w:kern w:val="2"/>
          <w:sz w:val="32"/>
          <w:szCs w:val="32"/>
        </w:rPr>
      </w:pPr>
      <w:r>
        <w:rPr>
          <w:rFonts w:hint="default" w:ascii="Times New Roman" w:hAnsi="Times New Roman" w:cs="Times New Roman"/>
          <w:b/>
          <w:kern w:val="2"/>
          <w:sz w:val="32"/>
          <w:szCs w:val="32"/>
          <w:lang w:val="en-US" w:eastAsia="zh-CN" w:bidi="ar"/>
        </w:rPr>
        <w:t>揭榜任务</w:t>
      </w:r>
      <w:r>
        <w:rPr>
          <w:rFonts w:hint="default" w:ascii="Times New Roman" w:hAnsi="Times New Roman" w:eastAsia="仿宋_GB2312" w:cs="Times New Roman"/>
          <w:b/>
          <w:kern w:val="2"/>
          <w:sz w:val="32"/>
          <w:szCs w:val="32"/>
          <w:lang w:val="en-US" w:eastAsia="zh-CN" w:bidi="ar"/>
        </w:rPr>
        <w:t>：</w:t>
      </w:r>
      <w:r>
        <w:rPr>
          <w:rFonts w:hint="default" w:ascii="Times New Roman" w:hAnsi="Times New Roman" w:eastAsia="仿宋_GB2312" w:cs="Times New Roman"/>
          <w:b w:val="0"/>
          <w:kern w:val="2"/>
          <w:sz w:val="32"/>
          <w:szCs w:val="32"/>
          <w:lang w:val="en-US" w:eastAsia="zh-CN" w:bidi="ar"/>
        </w:rPr>
        <w:t>研发高性能存储引擎、计算引擎，大幅提升数据压缩率和数据处理分析速</w:t>
      </w:r>
      <w:r>
        <w:rPr>
          <w:rFonts w:hint="eastAsia" w:ascii="Times New Roman" w:hAnsi="Times New Roman" w:cs="Times New Roman"/>
          <w:b w:val="0"/>
          <w:kern w:val="2"/>
          <w:sz w:val="32"/>
          <w:szCs w:val="32"/>
          <w:lang w:val="en-US" w:eastAsia="zh-CN" w:bidi="ar"/>
        </w:rPr>
        <w:t xml:space="preserve"> </w:t>
      </w:r>
      <w:r>
        <w:rPr>
          <w:rFonts w:hint="default" w:ascii="Times New Roman" w:hAnsi="Times New Roman" w:eastAsia="仿宋_GB2312" w:cs="Times New Roman"/>
          <w:b w:val="0"/>
          <w:kern w:val="2"/>
          <w:sz w:val="32"/>
          <w:szCs w:val="32"/>
          <w:lang w:val="en-US" w:eastAsia="zh-CN" w:bidi="ar"/>
        </w:rPr>
        <w:t>度；研发高度适用非结构化数据处理的分布式架构，降低事务延迟；推进文档数据库兼容性与生态适配；攻关文档数据库和生态培育，满足金融行业典型场景对非结构数据的管理需求。</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9"/>
        <w:rPr>
          <w:rFonts w:hint="default" w:ascii="Times New Roman" w:hAnsi="Times New Roman" w:eastAsia="仿宋_GB2312" w:cs="Times New Roman"/>
          <w:b w:val="0"/>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b w:val="0"/>
          <w:kern w:val="2"/>
          <w:sz w:val="32"/>
          <w:szCs w:val="32"/>
          <w:lang w:val="en-US" w:eastAsia="zh-CN" w:bidi="ar"/>
        </w:rPr>
        <w:t>到2027年底，在高性能、可扩展、跨分片/跨集群事务、生态兼容性等方面形成分布式文档数据库核心能力。支持单分片单文档写入速度不小于10万QPS，存储数据压缩率达50%；支持跨分片、跨集群分布式事务，支持分片集群线性可线性扩展至50个以上节点，支持特定金融业务集群多文档混合读写分布式事务不少于50万TPS（高频计算每秒运算量30000以上；跨分片事务占比不低于20%，跨分片事务延迟小于20ms）；集成至少3个金融级中间件，集成至少1款数据库迁移工具，支持国际领先数据库向本项目创新数据库迁移（支持一致性校验、回滚等），适配至少3个主流数据库迁移自动化工具。形成至少1款数据库性能测试工具，具备10000万以上数据量、1500个以上向量维度测试能力，覆盖至少4种索引类型。推动至少10家金融机构应用攻关产品。形成至少1项行业标准。联合金融机构、产业厂商和开发者社区共建文档数据库开源生态。攻关产品通过安全可靠测评。</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kern w:val="2"/>
          <w:sz w:val="32"/>
          <w:szCs w:val="32"/>
        </w:rPr>
      </w:pPr>
      <w:r>
        <w:rPr>
          <w:rFonts w:hint="eastAsia" w:ascii="Times New Roman" w:hAnsi="Times New Roman" w:eastAsia="仿宋_GB2312" w:cs="Times New Roman"/>
          <w:b/>
          <w:kern w:val="2"/>
          <w:sz w:val="32"/>
          <w:szCs w:val="32"/>
          <w:lang w:val="en-US" w:eastAsia="zh-CN" w:bidi="ar"/>
        </w:rPr>
        <w:t>5.</w:t>
      </w:r>
      <w:r>
        <w:rPr>
          <w:rFonts w:hint="default" w:ascii="Times New Roman" w:hAnsi="Times New Roman" w:eastAsia="仿宋_GB2312" w:cs="Times New Roman"/>
          <w:b/>
          <w:kern w:val="2"/>
          <w:sz w:val="32"/>
          <w:szCs w:val="32"/>
          <w:lang w:val="en-US" w:eastAsia="zh-CN" w:bidi="ar"/>
        </w:rPr>
        <w:t>投资组合优化器系统</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9"/>
        <w:rPr>
          <w:rFonts w:hint="default" w:ascii="Times New Roman" w:hAnsi="Times New Roman" w:eastAsia="仿宋_GB2312" w:cs="Times New Roman"/>
          <w:b w:val="0"/>
          <w:kern w:val="2"/>
          <w:sz w:val="32"/>
          <w:szCs w:val="32"/>
        </w:rPr>
      </w:pPr>
      <w:r>
        <w:rPr>
          <w:rFonts w:hint="default" w:ascii="Times New Roman" w:hAnsi="Times New Roman" w:cs="Times New Roman"/>
          <w:b/>
          <w:kern w:val="2"/>
          <w:sz w:val="32"/>
          <w:szCs w:val="32"/>
          <w:lang w:val="en-US" w:eastAsia="zh-CN" w:bidi="ar"/>
        </w:rPr>
        <w:t>揭榜任务</w:t>
      </w:r>
      <w:r>
        <w:rPr>
          <w:rFonts w:hint="default" w:ascii="Times New Roman" w:hAnsi="Times New Roman" w:eastAsia="仿宋_GB2312" w:cs="Times New Roman"/>
          <w:b/>
          <w:kern w:val="2"/>
          <w:sz w:val="32"/>
          <w:szCs w:val="32"/>
          <w:lang w:val="en-US" w:eastAsia="zh-CN" w:bidi="ar"/>
        </w:rPr>
        <w:t>：</w:t>
      </w:r>
      <w:r>
        <w:rPr>
          <w:rFonts w:hint="default" w:ascii="Times New Roman" w:hAnsi="Times New Roman" w:eastAsia="仿宋_GB2312" w:cs="Times New Roman"/>
          <w:b w:val="0"/>
          <w:kern w:val="2"/>
          <w:sz w:val="32"/>
          <w:szCs w:val="32"/>
          <w:lang w:val="en-US" w:eastAsia="zh-CN" w:bidi="ar"/>
        </w:rPr>
        <w:t>实现常见的基础及高阶的投资组合优化模型，试点自主知识产权的通用组合优化器产品，基于优化目标和投资限制灵活组合优化模型和约束条件，完成投资组合优化需求。实现时点投资组合优化及多期投资组合优化。</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9"/>
        <w:rPr>
          <w:rFonts w:hint="default" w:ascii="Times New Roman" w:hAnsi="Times New Roman" w:eastAsia="仿宋_GB2312" w:cs="Times New Roman"/>
          <w:b w:val="0"/>
          <w:kern w:val="2"/>
          <w:sz w:val="32"/>
          <w:szCs w:val="32"/>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b w:val="0"/>
          <w:kern w:val="2"/>
          <w:sz w:val="32"/>
          <w:szCs w:val="32"/>
          <w:lang w:val="en-US" w:eastAsia="zh-CN" w:bidi="ar"/>
        </w:rPr>
        <w:t>到2028年，对标国际主流厂商功能，实现自主知识产权的投资组合优化器产品；建立一套基于投资组合优化器产品的开发工具包。支持在不同场景调用组合优化器；梳理优化模型逻辑，完整支持常见的6种投资组合优化模型；实现包含风险，持仓暴露，交易成本等不同维度的25种约束条件；对500个标的完成单次投资组合优化时间在120S内；适配国产数学求解器及开源求解器，组合优化器系统整体核心代码自研比例不低于90%；支持自定义的风险模型数据。产品应完成2个启发式优化场景应用落地。适配通过安全可靠测评的</w:t>
      </w:r>
      <w:r>
        <w:rPr>
          <w:rFonts w:hint="eastAsia" w:ascii="Times New Roman" w:hAnsi="Times New Roman" w:cs="Times New Roman"/>
          <w:b w:val="0"/>
          <w:kern w:val="2"/>
          <w:sz w:val="32"/>
          <w:szCs w:val="32"/>
          <w:lang w:val="en-US" w:eastAsia="zh-CN" w:bidi="ar"/>
        </w:rPr>
        <w:t>操作系统、</w:t>
      </w:r>
      <w:r>
        <w:rPr>
          <w:rFonts w:hint="default" w:ascii="Times New Roman" w:hAnsi="Times New Roman" w:eastAsia="仿宋_GB2312" w:cs="Times New Roman"/>
          <w:b w:val="0"/>
          <w:kern w:val="2"/>
          <w:sz w:val="32"/>
          <w:szCs w:val="32"/>
          <w:lang w:val="en-US" w:eastAsia="zh-CN" w:bidi="ar"/>
        </w:rPr>
        <w:t>数据库</w:t>
      </w:r>
      <w:r>
        <w:rPr>
          <w:rFonts w:hint="eastAsia" w:ascii="Times New Roman" w:hAnsi="Times New Roman" w:cs="Times New Roman"/>
          <w:b w:val="0"/>
          <w:kern w:val="2"/>
          <w:sz w:val="32"/>
          <w:szCs w:val="32"/>
          <w:lang w:val="en-US" w:eastAsia="zh-CN" w:bidi="ar"/>
        </w:rPr>
        <w:t>等</w:t>
      </w:r>
      <w:r>
        <w:rPr>
          <w:rFonts w:hint="default" w:ascii="Times New Roman" w:hAnsi="Times New Roman" w:eastAsia="仿宋_GB2312" w:cs="Times New Roman"/>
          <w:b w:val="0"/>
          <w:kern w:val="2"/>
          <w:sz w:val="32"/>
          <w:szCs w:val="32"/>
          <w:lang w:val="en-US" w:eastAsia="zh-CN" w:bidi="ar"/>
        </w:rPr>
        <w:t>基础软硬件环境。</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kern w:val="2"/>
          <w:sz w:val="32"/>
          <w:szCs w:val="32"/>
        </w:rPr>
      </w:pPr>
      <w:r>
        <w:rPr>
          <w:rFonts w:hint="eastAsia" w:ascii="Times New Roman" w:hAnsi="Times New Roman" w:eastAsia="仿宋_GB2312" w:cs="Times New Roman"/>
          <w:b/>
          <w:kern w:val="2"/>
          <w:sz w:val="32"/>
          <w:szCs w:val="32"/>
          <w:lang w:val="en-US" w:eastAsia="zh-CN" w:bidi="ar"/>
        </w:rPr>
        <w:t>6.</w:t>
      </w:r>
      <w:r>
        <w:rPr>
          <w:rFonts w:hint="default" w:ascii="Times New Roman" w:hAnsi="Times New Roman" w:eastAsia="仿宋_GB2312" w:cs="Times New Roman"/>
          <w:b/>
          <w:kern w:val="2"/>
          <w:sz w:val="32"/>
          <w:szCs w:val="32"/>
          <w:lang w:val="en-US" w:eastAsia="zh-CN" w:bidi="ar"/>
        </w:rPr>
        <w:t>保险业自然灾害风险管理平台</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9"/>
        <w:rPr>
          <w:rFonts w:hint="default" w:ascii="Times New Roman" w:hAnsi="Times New Roman" w:eastAsia="仿宋_GB2312" w:cs="Times New Roman"/>
          <w:b w:val="0"/>
          <w:kern w:val="2"/>
          <w:sz w:val="32"/>
          <w:szCs w:val="32"/>
        </w:rPr>
      </w:pPr>
      <w:r>
        <w:rPr>
          <w:rFonts w:hint="default" w:ascii="Times New Roman" w:hAnsi="Times New Roman" w:cs="Times New Roman"/>
          <w:b/>
          <w:kern w:val="2"/>
          <w:sz w:val="32"/>
          <w:szCs w:val="32"/>
          <w:lang w:val="en-US" w:eastAsia="zh-CN" w:bidi="ar"/>
        </w:rPr>
        <w:t>揭榜任务</w:t>
      </w:r>
      <w:r>
        <w:rPr>
          <w:rFonts w:hint="default" w:ascii="Times New Roman" w:hAnsi="Times New Roman" w:eastAsia="仿宋_GB2312" w:cs="Times New Roman"/>
          <w:b/>
          <w:kern w:val="2"/>
          <w:sz w:val="32"/>
          <w:szCs w:val="32"/>
          <w:lang w:val="en-US" w:eastAsia="zh-CN" w:bidi="ar"/>
        </w:rPr>
        <w:t>：</w:t>
      </w:r>
      <w:r>
        <w:rPr>
          <w:rFonts w:hint="default" w:ascii="Times New Roman" w:hAnsi="Times New Roman" w:eastAsia="仿宋_GB2312" w:cs="Times New Roman"/>
          <w:b w:val="0"/>
          <w:kern w:val="2"/>
          <w:sz w:val="32"/>
          <w:szCs w:val="32"/>
          <w:lang w:val="en-US" w:eastAsia="zh-CN" w:bidi="ar"/>
        </w:rPr>
        <w:t>研发地震、台风、洪涝等巨灾模型，适配通过安全可靠测评的操作系统、数据库等基础软硬件环境，供保险机构用于巨灾保险精算定价。研发大数据底座，构建保险自然灾害风险管控核心技术框架，含空间数据库等组件，实现海量数据存储、分析、可视化处理及安全高效调用。实现常见自然灾害风险等级量化评估，危险性指数符合国家标准，具备综合危险性识别能力，覆盖全国及一带一路国家，国内涵盖暴雨等灾害，海外包括台风等。提供常见自然灾害风险预警能力，针对某灾害提供不同时间频度预警和干预跟踪，衡量标准含灾害类型等，覆盖全国及一带一路国家，国内数据更新频度支持分钟等。平台支持本地化部署，可与相关业务系统对接集成。</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9"/>
        <w:rPr>
          <w:rFonts w:hint="default" w:ascii="Times New Roman" w:hAnsi="Times New Roman" w:eastAsia="仿宋_GB2312" w:cs="Times New Roman"/>
          <w:b w:val="0"/>
          <w:kern w:val="2"/>
          <w:sz w:val="32"/>
          <w:szCs w:val="32"/>
        </w:rPr>
      </w:pPr>
      <w:r>
        <w:rPr>
          <w:rFonts w:hint="default" w:ascii="Times New Roman" w:hAnsi="Times New Roman" w:eastAsia="仿宋_GB2312" w:cs="Times New Roman"/>
          <w:b/>
          <w:bCs/>
          <w:kern w:val="2"/>
          <w:sz w:val="32"/>
          <w:szCs w:val="32"/>
          <w:lang w:val="en-US" w:eastAsia="zh-CN" w:bidi="ar"/>
        </w:rPr>
        <w:t>预期目标：</w:t>
      </w:r>
      <w:r>
        <w:rPr>
          <w:rFonts w:hint="default" w:ascii="Times New Roman" w:hAnsi="Times New Roman" w:eastAsia="仿宋_GB2312" w:cs="Times New Roman"/>
          <w:b w:val="0"/>
          <w:kern w:val="2"/>
          <w:sz w:val="32"/>
          <w:szCs w:val="32"/>
          <w:lang w:val="en-US" w:eastAsia="zh-CN" w:bidi="ar"/>
        </w:rPr>
        <w:t>到2027年底，形成一套自然灾害风险综合管理平台，具有自然灾害风险识别、预警和干预全周期管理功能，具备巨灾保险定价及保险方案设计能力，赋能保险机构风勘、核保定价、临灾客户服务、理赔等环节风险管控，实现自然灾害风险量化评估和管理；技术架构</w:t>
      </w:r>
      <w:r>
        <w:rPr>
          <w:rFonts w:hint="eastAsia" w:ascii="Times New Roman" w:hAnsi="Times New Roman" w:cs="Times New Roman"/>
          <w:b w:val="0"/>
          <w:kern w:val="2"/>
          <w:sz w:val="32"/>
          <w:szCs w:val="32"/>
          <w:lang w:val="en-US" w:eastAsia="zh-CN" w:bidi="ar"/>
        </w:rPr>
        <w:t>安全高效</w:t>
      </w:r>
      <w:r>
        <w:rPr>
          <w:rFonts w:hint="default" w:ascii="Times New Roman" w:hAnsi="Times New Roman" w:eastAsia="仿宋_GB2312" w:cs="Times New Roman"/>
          <w:b w:val="0"/>
          <w:kern w:val="2"/>
          <w:sz w:val="32"/>
          <w:szCs w:val="32"/>
          <w:lang w:val="en-US" w:eastAsia="zh-CN" w:bidi="ar"/>
        </w:rPr>
        <w:t>，满足数据安全相关法律法规要求。形成一套自然灾害风险综合管理平台，并完成至少2家行业机构适配；形成至少2个行业标杆案例。</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3"/>
        <w:rPr>
          <w:rFonts w:hint="default" w:ascii="Times New Roman" w:hAnsi="Times New Roman" w:eastAsia="仿宋_GB2312" w:cs="Times New Roman"/>
          <w:b/>
          <w:kern w:val="2"/>
          <w:sz w:val="32"/>
          <w:szCs w:val="32"/>
        </w:rPr>
      </w:pPr>
      <w:r>
        <w:rPr>
          <w:rFonts w:hint="eastAsia" w:ascii="Times New Roman" w:hAnsi="Times New Roman" w:eastAsia="仿宋_GB2312" w:cs="Times New Roman"/>
          <w:b/>
          <w:kern w:val="2"/>
          <w:sz w:val="32"/>
          <w:szCs w:val="32"/>
          <w:lang w:val="en-US" w:eastAsia="zh-CN" w:bidi="ar"/>
        </w:rPr>
        <w:t>7.</w:t>
      </w:r>
      <w:r>
        <w:rPr>
          <w:rFonts w:hint="default" w:ascii="Times New Roman" w:hAnsi="Times New Roman" w:eastAsia="仿宋_GB2312" w:cs="Times New Roman"/>
          <w:b/>
          <w:kern w:val="2"/>
          <w:sz w:val="32"/>
          <w:szCs w:val="32"/>
          <w:lang w:val="en-US" w:eastAsia="zh-CN" w:bidi="ar"/>
        </w:rPr>
        <w:t>人身险精算财务平台</w:t>
      </w:r>
    </w:p>
    <w:p>
      <w:pPr>
        <w:keepNext w:val="0"/>
        <w:keepLines w:val="0"/>
        <w:widowControl w:val="0"/>
        <w:suppressLineNumbers w:val="0"/>
        <w:autoSpaceDE w:val="0"/>
        <w:autoSpaceDN/>
        <w:spacing w:before="0" w:beforeAutospacing="0" w:after="0" w:afterAutospacing="0" w:line="580" w:lineRule="exact"/>
        <w:ind w:left="0" w:leftChars="0" w:right="0" w:rightChars="0" w:firstLine="642" w:firstLineChars="200"/>
        <w:jc w:val="both"/>
        <w:outlineLvl w:val="9"/>
        <w:rPr>
          <w:rFonts w:hint="default" w:ascii="Times New Roman" w:hAnsi="Times New Roman" w:eastAsia="仿宋_GB2312" w:cs="Times New Roman"/>
          <w:b w:val="0"/>
          <w:kern w:val="2"/>
          <w:sz w:val="32"/>
          <w:szCs w:val="32"/>
        </w:rPr>
      </w:pPr>
      <w:r>
        <w:rPr>
          <w:rFonts w:hint="default" w:ascii="Times New Roman" w:hAnsi="Times New Roman" w:cs="Times New Roman"/>
          <w:b/>
          <w:kern w:val="2"/>
          <w:sz w:val="32"/>
          <w:szCs w:val="32"/>
          <w:lang w:val="en-US" w:eastAsia="zh-CN" w:bidi="ar"/>
        </w:rPr>
        <w:t>揭榜任务</w:t>
      </w:r>
      <w:r>
        <w:rPr>
          <w:rFonts w:hint="default" w:ascii="Times New Roman" w:hAnsi="Times New Roman" w:eastAsia="仿宋_GB2312" w:cs="Times New Roman"/>
          <w:b/>
          <w:kern w:val="2"/>
          <w:sz w:val="32"/>
          <w:szCs w:val="32"/>
          <w:lang w:val="en-US" w:eastAsia="zh-CN" w:bidi="ar"/>
        </w:rPr>
        <w:t>：</w:t>
      </w:r>
      <w:r>
        <w:rPr>
          <w:rFonts w:hint="default" w:ascii="Times New Roman" w:hAnsi="Times New Roman" w:eastAsia="仿宋_GB2312" w:cs="Times New Roman"/>
          <w:b w:val="0"/>
          <w:kern w:val="2"/>
          <w:sz w:val="32"/>
          <w:szCs w:val="32"/>
          <w:lang w:val="en-US" w:eastAsia="zh-CN" w:bidi="ar"/>
        </w:rPr>
        <w:t>研发高效易用的精算模型管理系统，实现多准则精算建模，支持逐保单长周期现金流模拟与预测，覆盖多准则、多场景。支持精算师自定义建模并自动确定计算顺序，适应差异化业务场景。研发符合新会计准则的数据处理与计量系统，建立合同分组规则，实现逐保单自动分组与管理。整合多源现金流，完成数据清洗、校验与入库，基于数据完成CSM滚动计算及准备金计量等工作。研发多准则财务会计引擎，实现业务数据到会计凭证全周期管理。引擎对接多源数据，完成预处理，产出标准化核算数据。构建自动化追溯机制，支持全流程追溯，提升财务数据透明度与合规性。</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kern w:val="2"/>
          <w:sz w:val="32"/>
          <w:szCs w:val="32"/>
          <w:lang w:val="en-US" w:eastAsia="zh-CN" w:bidi="ar"/>
        </w:rPr>
        <w:t>预期目标：</w:t>
      </w:r>
      <w:r>
        <w:rPr>
          <w:rFonts w:hint="default" w:ascii="Times New Roman" w:hAnsi="Times New Roman" w:eastAsia="仿宋_GB2312" w:cs="Times New Roman"/>
          <w:b w:val="0"/>
          <w:kern w:val="2"/>
          <w:sz w:val="32"/>
          <w:szCs w:val="32"/>
          <w:lang w:val="en-US" w:eastAsia="zh-CN" w:bidi="ar"/>
        </w:rPr>
        <w:t>到2027年底，构建面向人身险行业的全栈自主精算、财务平台，实现精算建模、计量处理与财务核算流程自动化贯通，达成精算财务条线结算流程无断点、可视化功能。实现结算流程高效无断点，平台集成精算模型、新会计准则计量系统与会计引擎，上下游流程自动流转，人工干预减少超80%，集群算力动态可扩展，支持亿级保单结算。实现多准则多场景支持，覆盖至少4套计量标准，支持财务结算合规报送等业务场景。实现全栈自主与高可用性，平台全面适配通过安全可靠测评的操作系统、数据库等基础软硬件</w:t>
      </w:r>
      <w:r>
        <w:rPr>
          <w:rFonts w:hint="eastAsia" w:ascii="Times New Roman" w:hAnsi="Times New Roman" w:cs="Times New Roman"/>
          <w:b w:val="0"/>
          <w:kern w:val="2"/>
          <w:sz w:val="32"/>
          <w:szCs w:val="32"/>
          <w:lang w:val="en-US" w:eastAsia="zh-CN" w:bidi="ar"/>
        </w:rPr>
        <w:t>环境</w:t>
      </w:r>
      <w:r>
        <w:rPr>
          <w:rFonts w:hint="default" w:ascii="Times New Roman" w:hAnsi="Times New Roman" w:eastAsia="仿宋_GB2312" w:cs="Times New Roman"/>
          <w:b w:val="0"/>
          <w:kern w:val="2"/>
          <w:sz w:val="32"/>
          <w:szCs w:val="32"/>
          <w:lang w:val="en-US" w:eastAsia="zh-CN" w:bidi="ar"/>
        </w:rPr>
        <w:t>，核心组件自主率100%，具备高可用性、高性能与高扩展能力。形成1套人身险精算财务平台，并完成至少2家行业机构适配；形成至少2个行业标杆案例。</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（二）申报要求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cs="Times New Roman"/>
          <w:b/>
          <w:bCs/>
          <w:sz w:val="32"/>
          <w:szCs w:val="32"/>
          <w:highlight w:val="none"/>
          <w:lang w:val="en-US" w:eastAsia="zh-CN"/>
        </w:rPr>
        <w:t>1. 申报方式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符合条件的申报单位应填写申报材料，盖章后</w:t>
      </w:r>
      <w:r>
        <w:rPr>
          <w:rFonts w:hint="default" w:ascii="Times New Roman" w:hAnsi="Times New Roman" w:cs="Times New Roman"/>
          <w:sz w:val="32"/>
          <w:szCs w:val="32"/>
          <w:highlight w:val="none"/>
          <w:lang w:val="en-US" w:eastAsia="zh-CN"/>
        </w:rPr>
        <w:t>于2026年</w:t>
      </w:r>
      <w:r>
        <w:rPr>
          <w:rFonts w:hint="eastAsia" w:ascii="Times New Roman" w:hAnsi="Times New Roman" w:cs="Times New Roman"/>
          <w:sz w:val="32"/>
          <w:szCs w:val="32"/>
          <w:highlight w:val="none"/>
          <w:lang w:val="en-US" w:eastAsia="zh-CN"/>
        </w:rPr>
        <w:t>8月21日</w:t>
      </w:r>
      <w:r>
        <w:rPr>
          <w:rFonts w:hint="default" w:ascii="Times New Roman" w:hAnsi="Times New Roman" w:cs="Times New Roman"/>
          <w:sz w:val="32"/>
          <w:szCs w:val="32"/>
          <w:highlight w:val="none"/>
          <w:lang w:val="en-US" w:eastAsia="zh-CN"/>
        </w:rPr>
        <w:t>前</w:t>
      </w:r>
      <w:r>
        <w:rPr>
          <w:rFonts w:hint="default" w:ascii="Times New Roman" w:hAnsi="Times New Roman" w:eastAsia="仿宋_GB2312" w:cs="Times New Roman"/>
          <w:sz w:val="32"/>
          <w:szCs w:val="32"/>
          <w:highlight w:val="none"/>
          <w:lang w:val="en-US" w:eastAsia="zh-CN"/>
        </w:rPr>
        <w:t>报送至推荐单位。</w:t>
      </w:r>
      <w:r>
        <w:rPr>
          <w:rFonts w:hint="default" w:ascii="Times New Roman" w:hAnsi="Times New Roman" w:cs="Times New Roman"/>
          <w:sz w:val="32"/>
          <w:szCs w:val="32"/>
          <w:highlight w:val="none"/>
          <w:lang w:val="en-US" w:eastAsia="zh-CN"/>
        </w:rPr>
        <w:t>申报期结束后，</w:t>
      </w:r>
      <w:r>
        <w:rPr>
          <w:rFonts w:hint="default" w:ascii="Times New Roman" w:hAnsi="Times New Roman" w:eastAsia="仿宋_GB2312" w:cs="Times New Roman"/>
          <w:sz w:val="32"/>
          <w:szCs w:val="32"/>
          <w:highlight w:val="none"/>
          <w:lang w:val="en-US" w:eastAsia="zh-CN"/>
        </w:rPr>
        <w:t>推荐单位</w:t>
      </w:r>
      <w:r>
        <w:rPr>
          <w:rFonts w:hint="default" w:ascii="Times New Roman" w:hAnsi="Times New Roman" w:cs="Times New Roman"/>
          <w:sz w:val="32"/>
          <w:szCs w:val="32"/>
          <w:highlight w:val="none"/>
          <w:lang w:val="en-US" w:eastAsia="zh-CN"/>
        </w:rPr>
        <w:t>应</w:t>
      </w:r>
      <w:r>
        <w:rPr>
          <w:rFonts w:hint="default" w:ascii="Times New Roman" w:hAnsi="Times New Roman" w:eastAsia="仿宋_GB2312" w:cs="Times New Roman"/>
          <w:sz w:val="32"/>
          <w:szCs w:val="32"/>
          <w:highlight w:val="none"/>
          <w:lang w:val="en-US" w:eastAsia="zh-CN"/>
        </w:rPr>
        <w:t>汇总申报材料，填写《2026年工业和信息化领域创新任务揭榜单位推荐</w:t>
      </w:r>
      <w:r>
        <w:rPr>
          <w:rFonts w:hint="default" w:ascii="Times New Roman" w:hAnsi="Times New Roman" w:cs="Times New Roman"/>
          <w:sz w:val="32"/>
          <w:szCs w:val="32"/>
          <w:highlight w:val="none"/>
          <w:lang w:val="en-US" w:eastAsia="zh-CN"/>
        </w:rPr>
        <w:t>汇总</w:t>
      </w:r>
      <w:r>
        <w:rPr>
          <w:rFonts w:hint="default" w:ascii="Times New Roman" w:hAnsi="Times New Roman" w:eastAsia="仿宋_GB2312" w:cs="Times New Roman"/>
          <w:sz w:val="32"/>
          <w:szCs w:val="32"/>
          <w:highlight w:val="none"/>
          <w:lang w:val="en-US" w:eastAsia="zh-CN"/>
        </w:rPr>
        <w:t>表》并盖章，</w:t>
      </w:r>
      <w:r>
        <w:rPr>
          <w:rFonts w:hint="default" w:ascii="Times New Roman" w:hAnsi="Times New Roman" w:cs="Times New Roman"/>
          <w:sz w:val="32"/>
          <w:szCs w:val="32"/>
          <w:highlight w:val="none"/>
          <w:lang w:val="en-US" w:eastAsia="zh-CN"/>
        </w:rPr>
        <w:t>将推荐汇总表及拟推荐申报材料纸质件、电子光盘</w:t>
      </w:r>
      <w:r>
        <w:rPr>
          <w:rFonts w:hint="default" w:ascii="Times New Roman" w:hAnsi="Times New Roman" w:eastAsia="仿宋_GB2312" w:cs="Times New Roman"/>
          <w:sz w:val="32"/>
          <w:szCs w:val="32"/>
          <w:highlight w:val="none"/>
          <w:lang w:val="en-US" w:eastAsia="zh-CN"/>
        </w:rPr>
        <w:t>于2026年</w:t>
      </w:r>
      <w:r>
        <w:rPr>
          <w:rFonts w:hint="eastAsia" w:ascii="Times New Roman" w:hAnsi="Times New Roman" w:cs="Times New Roman"/>
          <w:sz w:val="32"/>
          <w:szCs w:val="32"/>
          <w:highlight w:val="none"/>
          <w:lang w:val="en-US" w:eastAsia="zh-CN"/>
        </w:rPr>
        <w:t>9月7日</w:t>
      </w:r>
      <w:r>
        <w:rPr>
          <w:rFonts w:hint="default" w:ascii="Times New Roman" w:hAnsi="Times New Roman" w:cs="Times New Roman"/>
          <w:sz w:val="32"/>
          <w:szCs w:val="32"/>
          <w:highlight w:val="none"/>
          <w:lang w:val="en-US" w:eastAsia="zh-CN"/>
        </w:rPr>
        <w:t>前</w:t>
      </w:r>
      <w:r>
        <w:rPr>
          <w:rFonts w:hint="default" w:ascii="Times New Roman" w:hAnsi="Times New Roman" w:eastAsia="仿宋_GB2312" w:cs="Times New Roman"/>
          <w:sz w:val="32"/>
          <w:szCs w:val="32"/>
          <w:highlight w:val="none"/>
          <w:lang w:val="en-US" w:eastAsia="zh-CN"/>
        </w:rPr>
        <w:t>寄送至</w:t>
      </w:r>
      <w:r>
        <w:rPr>
          <w:rFonts w:hint="default" w:ascii="Times New Roman" w:hAnsi="Times New Roman" w:cs="Times New Roman"/>
          <w:sz w:val="32"/>
          <w:szCs w:val="32"/>
          <w:highlight w:val="none"/>
          <w:lang w:val="en-US" w:eastAsia="zh-CN"/>
        </w:rPr>
        <w:t>工业和信息化部万寿路办公区8号楼</w:t>
      </w:r>
      <w:r>
        <w:rPr>
          <w:rFonts w:hint="default" w:ascii="Times New Roman" w:hAnsi="Times New Roman" w:eastAsia="仿宋_GB2312" w:cs="Times New Roman"/>
          <w:sz w:val="32"/>
          <w:szCs w:val="32"/>
          <w:highlight w:val="none"/>
          <w:lang w:val="en-US" w:eastAsia="zh-CN"/>
        </w:rPr>
        <w:t>，收件人：</w:t>
      </w:r>
      <w:r>
        <w:rPr>
          <w:rFonts w:hint="default" w:ascii="Times New Roman" w:hAnsi="Times New Roman" w:cs="Times New Roman"/>
          <w:sz w:val="32"/>
          <w:szCs w:val="32"/>
          <w:highlight w:val="none"/>
          <w:lang w:val="en-US" w:eastAsia="zh-CN"/>
        </w:rPr>
        <w:t>罗凯 010-68208244</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cs="Times New Roman"/>
          <w:b/>
          <w:bCs/>
          <w:sz w:val="32"/>
          <w:szCs w:val="32"/>
          <w:highlight w:val="none"/>
          <w:lang w:val="en-US" w:eastAsia="zh-CN"/>
        </w:rPr>
        <w:t>2. 推荐数量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cs="Times New Roman"/>
          <w:sz w:val="32"/>
          <w:szCs w:val="32"/>
          <w:highlight w:val="none"/>
          <w:lang w:val="en-US" w:eastAsia="zh-CN"/>
        </w:rPr>
        <w:t>本</w:t>
      </w:r>
      <w:r>
        <w:rPr>
          <w:rFonts w:hint="default" w:ascii="Times New Roman" w:hAnsi="Times New Roman" w:eastAsia="仿宋_GB2312" w:cs="Times New Roman"/>
          <w:sz w:val="32"/>
          <w:szCs w:val="32"/>
          <w:highlight w:val="none"/>
          <w:lang w:val="en-US" w:eastAsia="zh-CN"/>
        </w:rPr>
        <w:t>专题</w:t>
      </w:r>
      <w:r>
        <w:rPr>
          <w:rFonts w:hint="default" w:ascii="Times New Roman" w:hAnsi="Times New Roman" w:cs="Times New Roman"/>
          <w:sz w:val="32"/>
          <w:szCs w:val="32"/>
          <w:highlight w:val="none"/>
          <w:lang w:val="en-US" w:eastAsia="zh-CN"/>
        </w:rPr>
        <w:t>下，每个地方工业和信息化主管部门推荐单位的</w:t>
      </w:r>
      <w:r>
        <w:rPr>
          <w:rFonts w:hint="default" w:ascii="Times New Roman" w:hAnsi="Times New Roman" w:eastAsia="仿宋_GB2312" w:cs="Times New Roman"/>
          <w:sz w:val="32"/>
          <w:szCs w:val="32"/>
          <w:highlight w:val="none"/>
          <w:lang w:val="en-US" w:eastAsia="zh-CN"/>
        </w:rPr>
        <w:t>推荐数量不多于</w:t>
      </w:r>
      <w:r>
        <w:rPr>
          <w:rFonts w:hint="default" w:ascii="Times New Roman" w:hAnsi="Times New Roman" w:cs="Times New Roman"/>
          <w:sz w:val="32"/>
          <w:szCs w:val="32"/>
          <w:highlight w:val="none"/>
          <w:lang w:val="en-US" w:eastAsia="zh-CN"/>
        </w:rPr>
        <w:t>3</w:t>
      </w:r>
      <w:r>
        <w:rPr>
          <w:rFonts w:hint="default" w:ascii="Times New Roman" w:hAnsi="Times New Roman" w:eastAsia="仿宋_GB2312" w:cs="Times New Roman"/>
          <w:sz w:val="32"/>
          <w:szCs w:val="32"/>
          <w:highlight w:val="none"/>
          <w:lang w:val="en-US" w:eastAsia="zh-CN"/>
        </w:rPr>
        <w:t>个，每个央企</w:t>
      </w:r>
      <w:r>
        <w:rPr>
          <w:rFonts w:hint="default" w:ascii="Times New Roman" w:hAnsi="Times New Roman" w:cs="Times New Roman"/>
          <w:sz w:val="32"/>
          <w:szCs w:val="32"/>
          <w:highlight w:val="none"/>
          <w:lang w:val="en-US" w:eastAsia="zh-CN"/>
        </w:rPr>
        <w:t>推荐单位的</w:t>
      </w:r>
      <w:r>
        <w:rPr>
          <w:rFonts w:hint="default" w:ascii="Times New Roman" w:hAnsi="Times New Roman" w:eastAsia="仿宋_GB2312" w:cs="Times New Roman"/>
          <w:sz w:val="32"/>
          <w:szCs w:val="32"/>
          <w:highlight w:val="none"/>
          <w:lang w:val="en-US" w:eastAsia="zh-CN"/>
        </w:rPr>
        <w:t>推荐数量不多于</w:t>
      </w:r>
      <w:r>
        <w:rPr>
          <w:rFonts w:hint="default" w:ascii="Times New Roman" w:hAnsi="Times New Roman"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个。</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（三）联系方式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工业和信息化部</w:t>
      </w:r>
      <w:r>
        <w:rPr>
          <w:rFonts w:hint="default" w:ascii="Times New Roman" w:hAnsi="Times New Roman" w:cs="Times New Roman"/>
          <w:sz w:val="32"/>
          <w:szCs w:val="32"/>
          <w:highlight w:val="none"/>
          <w:lang w:val="en-US" w:eastAsia="zh-CN"/>
        </w:rPr>
        <w:t>信息技术发展</w:t>
      </w:r>
      <w:r>
        <w:rPr>
          <w:rFonts w:hint="default" w:ascii="Times New Roman" w:hAnsi="Times New Roman" w:eastAsia="仿宋_GB2312" w:cs="Times New Roman"/>
          <w:sz w:val="32"/>
          <w:szCs w:val="32"/>
          <w:highlight w:val="none"/>
          <w:lang w:val="en-US" w:eastAsia="zh-CN"/>
        </w:rPr>
        <w:t>司</w:t>
      </w:r>
    </w:p>
    <w:p>
      <w:pPr>
        <w:ind w:firstLine="640"/>
        <w:rPr>
          <w:rFonts w:hint="default" w:ascii="Times New Roman" w:hAnsi="Times New Roman"/>
          <w:highlight w:val="none"/>
          <w:lang w:val="en-US" w:eastAsia="zh-CN"/>
        </w:rPr>
      </w:pPr>
      <w:r>
        <w:rPr>
          <w:rFonts w:hint="default" w:ascii="Times New Roman" w:hAnsi="Times New Roman" w:cs="Times New Roman"/>
          <w:sz w:val="32"/>
          <w:szCs w:val="32"/>
          <w:highlight w:val="none"/>
          <w:lang w:val="en-US" w:eastAsia="zh-CN"/>
        </w:rPr>
        <w:t>罗凯</w:t>
      </w:r>
      <w:r>
        <w:rPr>
          <w:rFonts w:hint="default" w:ascii="Times New Roman" w:hAnsi="Times New Roman" w:eastAsia="仿宋_GB2312" w:cs="Times New Roman"/>
          <w:sz w:val="32"/>
          <w:szCs w:val="32"/>
          <w:highlight w:val="none"/>
          <w:lang w:val="en-US" w:eastAsia="zh-CN"/>
        </w:rPr>
        <w:t xml:space="preserve">  010-6820</w:t>
      </w:r>
      <w:r>
        <w:rPr>
          <w:rFonts w:hint="default" w:ascii="Times New Roman" w:hAnsi="Times New Roman" w:cs="Times New Roman"/>
          <w:sz w:val="32"/>
          <w:szCs w:val="32"/>
          <w:highlight w:val="none"/>
          <w:lang w:val="en-US" w:eastAsia="zh-CN"/>
        </w:rPr>
        <w:t>8244</w:t>
      </w:r>
    </w:p>
    <w:p>
      <w:pPr>
        <w:rPr>
          <w:rFonts w:ascii="Times New Roman" w:hAnsi="Times New Roman"/>
          <w:highlight w:val="none"/>
        </w:rPr>
      </w:pPr>
    </w:p>
    <w:p>
      <w:pPr>
        <w:rPr>
          <w:rFonts w:ascii="Times New Roman" w:hAnsi="Times New Roman" w:cs="Times New Roman"/>
          <w:highlight w:val="none"/>
        </w:rPr>
        <w:sectPr>
          <w:headerReference r:id="rId9" w:type="default"/>
          <w:footerReference r:id="rId10"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outlineLvl w:val="1"/>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五、“虚拟现实”专题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（一）攻关任务指南</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ind w:firstLine="642" w:firstLineChars="200"/>
        <w:textAlignment w:val="auto"/>
        <w:outlineLvl w:val="3"/>
        <w:rPr>
          <w:rFonts w:hint="default" w:ascii="Times New Roman" w:hAnsi="Times New Roman" w:eastAsia="仿宋_GB2312"/>
          <w:b/>
          <w:bCs/>
          <w:sz w:val="32"/>
          <w:szCs w:val="32"/>
          <w:highlight w:val="none"/>
          <w:lang w:val="en-US" w:eastAsia="zh-CN"/>
        </w:rPr>
      </w:pPr>
      <w:r>
        <w:rPr>
          <w:rFonts w:hint="default" w:ascii="Times New Roman" w:hAnsi="Times New Roman" w:cs="Times New Roman"/>
          <w:b/>
          <w:bCs/>
          <w:kern w:val="2"/>
          <w:sz w:val="32"/>
          <w:szCs w:val="32"/>
          <w:highlight w:val="none"/>
          <w:lang w:val="en-US" w:eastAsia="zh-CN" w:bidi="ar-SA"/>
        </w:rPr>
        <w:t xml:space="preserve">1. </w:t>
      </w:r>
      <w:r>
        <w:rPr>
          <w:rFonts w:hint="default" w:ascii="Times New Roman" w:hAnsi="Times New Roman" w:eastAsia="仿宋_GB2312"/>
          <w:b/>
          <w:bCs/>
          <w:sz w:val="32"/>
          <w:szCs w:val="32"/>
          <w:highlight w:val="none"/>
          <w:lang w:val="en-US" w:eastAsia="zh-CN"/>
        </w:rPr>
        <w:t>三维沉浸视频生产系统</w:t>
      </w:r>
    </w:p>
    <w:p>
      <w:pPr>
        <w:keepNext w:val="0"/>
        <w:keepLines w:val="0"/>
        <w:pageBreakBefore w:val="0"/>
        <w:kinsoku/>
        <w:wordWrap/>
        <w:overflowPunct/>
        <w:topLinePunct w:val="0"/>
        <w:autoSpaceDE/>
        <w:autoSpaceDN/>
        <w:bidi w:val="0"/>
        <w:adjustRightInd/>
        <w:snapToGrid/>
        <w:spacing w:beforeAutospacing="0" w:afterAutospacing="0"/>
        <w:ind w:firstLine="642" w:firstLineChars="200"/>
        <w:textAlignment w:val="auto"/>
        <w:outlineLvl w:val="9"/>
        <w:rPr>
          <w:rFonts w:hint="default" w:ascii="Times New Roman" w:hAnsi="Times New Roman" w:eastAsia="仿宋_GB2312"/>
          <w:sz w:val="32"/>
          <w:szCs w:val="32"/>
          <w:highlight w:val="none"/>
          <w:lang w:eastAsia="zh-CN"/>
        </w:rPr>
      </w:pPr>
      <w:r>
        <w:rPr>
          <w:rFonts w:hint="default" w:ascii="Times New Roman" w:hAnsi="Times New Roman"/>
          <w:b/>
          <w:bCs/>
          <w:sz w:val="32"/>
          <w:szCs w:val="32"/>
          <w:highlight w:val="none"/>
          <w:lang w:val="en-US" w:eastAsia="zh-CN"/>
        </w:rPr>
        <w:t>揭榜任务</w:t>
      </w:r>
      <w:r>
        <w:rPr>
          <w:rFonts w:hint="default" w:ascii="Times New Roman" w:hAnsi="Times New Roman" w:eastAsia="仿宋_GB2312"/>
          <w:b/>
          <w:bCs/>
          <w:sz w:val="32"/>
          <w:szCs w:val="32"/>
          <w:highlight w:val="none"/>
          <w:lang w:val="en-US" w:eastAsia="zh-CN"/>
        </w:rPr>
        <w:t>：</w:t>
      </w:r>
      <w:r>
        <w:rPr>
          <w:rFonts w:ascii="Times New Roman" w:hAnsi="Times New Roman" w:eastAsia="仿宋_GB2312"/>
          <w:sz w:val="32"/>
          <w:szCs w:val="32"/>
          <w:highlight w:val="none"/>
        </w:rPr>
        <w:t>围绕虚拟现实终端对三维原生沉浸视听内容的需求，研究立体全景图像增强、高效全景映射、多视角视频编码、跨终端编码转换、端云低时延传输与低抖动播放技术，实现高质量</w:t>
      </w:r>
      <w:r>
        <w:rPr>
          <w:rFonts w:hint="default" w:ascii="Times New Roman" w:hAnsi="Times New Roman" w:eastAsia="仿宋_GB2312"/>
          <w:sz w:val="32"/>
          <w:szCs w:val="32"/>
          <w:highlight w:val="none"/>
          <w:lang w:val="en-US" w:eastAsia="zh-CN"/>
        </w:rPr>
        <w:t>空间视频</w:t>
      </w:r>
      <w:r>
        <w:rPr>
          <w:rFonts w:ascii="Times New Roman" w:hAnsi="Times New Roman" w:eastAsia="仿宋_GB2312"/>
          <w:sz w:val="32"/>
          <w:szCs w:val="32"/>
          <w:highlight w:val="none"/>
        </w:rPr>
        <w:t>生产、分发、播放能力。探索研究沉浸光场声场协同采集与同步构建技术，实现多模态体积视频的内容生产与</w:t>
      </w:r>
      <w:r>
        <w:rPr>
          <w:rFonts w:hint="default" w:ascii="Times New Roman" w:hAnsi="Times New Roman" w:eastAsia="仿宋_GB2312"/>
          <w:sz w:val="32"/>
          <w:szCs w:val="32"/>
          <w:highlight w:val="none"/>
          <w:lang w:val="en-US" w:eastAsia="zh-CN"/>
        </w:rPr>
        <w:t>6DoF</w:t>
      </w:r>
      <w:r>
        <w:rPr>
          <w:rFonts w:ascii="Times New Roman" w:hAnsi="Times New Roman" w:eastAsia="仿宋_GB2312"/>
          <w:sz w:val="32"/>
          <w:szCs w:val="32"/>
          <w:highlight w:val="none"/>
        </w:rPr>
        <w:t>交互能力</w:t>
      </w:r>
      <w:r>
        <w:rPr>
          <w:rFonts w:hint="default" w:ascii="Times New Roman" w:hAnsi="Times New Roman" w:eastAsia="仿宋_GB2312"/>
          <w:sz w:val="32"/>
          <w:szCs w:val="32"/>
          <w:highlight w:val="none"/>
          <w:lang w:eastAsia="zh-CN"/>
        </w:rPr>
        <w:t>。</w:t>
      </w:r>
    </w:p>
    <w:p>
      <w:pPr>
        <w:keepNext w:val="0"/>
        <w:keepLines w:val="0"/>
        <w:pageBreakBefore w:val="0"/>
        <w:kinsoku/>
        <w:wordWrap/>
        <w:overflowPunct/>
        <w:topLinePunct w:val="0"/>
        <w:autoSpaceDE/>
        <w:autoSpaceDN/>
        <w:bidi w:val="0"/>
        <w:adjustRightInd/>
        <w:snapToGrid/>
        <w:spacing w:beforeAutospacing="0" w:afterAutospacing="0"/>
        <w:ind w:firstLine="642" w:firstLineChars="200"/>
        <w:jc w:val="both"/>
        <w:textAlignment w:val="auto"/>
        <w:outlineLvl w:val="9"/>
        <w:rPr>
          <w:rFonts w:hint="default" w:ascii="Times New Roman" w:hAnsi="Times New Roman" w:eastAsia="仿宋_GB2312"/>
          <w:sz w:val="32"/>
          <w:szCs w:val="32"/>
          <w:highlight w:val="none"/>
          <w:lang w:eastAsia="zh-CN"/>
        </w:rPr>
      </w:pPr>
      <w:r>
        <w:rPr>
          <w:rFonts w:hint="default" w:ascii="Times New Roman" w:hAnsi="Times New Roman" w:eastAsia="仿宋_GB2312"/>
          <w:b/>
          <w:bCs/>
          <w:sz w:val="32"/>
          <w:szCs w:val="32"/>
          <w:highlight w:val="none"/>
          <w:lang w:val="en-US" w:eastAsia="zh-CN"/>
        </w:rPr>
        <w:t>预期目标：</w:t>
      </w:r>
      <w:r>
        <w:rPr>
          <w:rFonts w:hint="default" w:ascii="Times New Roman" w:hAnsi="Times New Roman" w:eastAsia="仿宋_GB2312"/>
          <w:sz w:val="32"/>
          <w:szCs w:val="32"/>
          <w:highlight w:val="none"/>
          <w:lang w:val="en-US" w:eastAsia="zh-CN"/>
        </w:rPr>
        <w:t>到2027年，系统</w:t>
      </w:r>
      <w:r>
        <w:rPr>
          <w:rFonts w:ascii="Times New Roman" w:hAnsi="Times New Roman" w:eastAsia="仿宋_GB2312"/>
          <w:sz w:val="32"/>
          <w:szCs w:val="32"/>
          <w:highlight w:val="none"/>
        </w:rPr>
        <w:t>支持双目8K</w:t>
      </w:r>
      <w:r>
        <w:rPr>
          <w:rFonts w:hint="default" w:ascii="Times New Roman" w:hAnsi="Times New Roman" w:eastAsia="仿宋_GB2312"/>
          <w:sz w:val="32"/>
          <w:szCs w:val="32"/>
          <w:highlight w:val="none"/>
          <w:lang w:val="en-US" w:eastAsia="zh-CN"/>
        </w:rPr>
        <w:t>或</w:t>
      </w:r>
      <w:r>
        <w:rPr>
          <w:rFonts w:ascii="Times New Roman" w:hAnsi="Times New Roman" w:eastAsia="仿宋_GB2312"/>
          <w:sz w:val="32"/>
          <w:szCs w:val="32"/>
          <w:highlight w:val="none"/>
        </w:rPr>
        <w:t>以上空间视频生产，帧率不低于60FPS，典型播放码率不低于50Mbps，具备端到端流媒体时延、</w:t>
      </w:r>
      <w:r>
        <w:rPr>
          <w:rFonts w:hint="default" w:ascii="Times New Roman" w:hAnsi="Times New Roman" w:eastAsia="仿宋_GB2312"/>
          <w:sz w:val="32"/>
          <w:szCs w:val="32"/>
          <w:highlight w:val="none"/>
          <w:lang w:val="en-US" w:eastAsia="zh-CN"/>
        </w:rPr>
        <w:t>黑边等</w:t>
      </w:r>
      <w:r>
        <w:rPr>
          <w:rFonts w:ascii="Times New Roman" w:hAnsi="Times New Roman" w:eastAsia="仿宋_GB2312"/>
          <w:sz w:val="32"/>
          <w:szCs w:val="32"/>
          <w:highlight w:val="none"/>
        </w:rPr>
        <w:t>传输与播放质量测试验证能力</w:t>
      </w:r>
      <w:r>
        <w:rPr>
          <w:rFonts w:hint="default" w:ascii="Times New Roman" w:hAnsi="Times New Roman" w:eastAsia="仿宋_GB2312"/>
          <w:sz w:val="32"/>
          <w:szCs w:val="32"/>
          <w:highlight w:val="none"/>
          <w:lang w:eastAsia="zh-CN"/>
        </w:rPr>
        <w:t>，</w:t>
      </w:r>
      <w:r>
        <w:rPr>
          <w:rFonts w:ascii="Times New Roman" w:hAnsi="Times New Roman" w:eastAsia="仿宋_GB2312"/>
          <w:sz w:val="32"/>
          <w:szCs w:val="32"/>
          <w:highlight w:val="none"/>
        </w:rPr>
        <w:t>完成体积视频的技术验证与试点应用。围绕活动观赛、文旅文博、教育培训等至少3个重点行业应用，形成面向虚拟现实终端的三维原生沉浸视频生产、编码转换、流媒体分发、播放呈现与测试验证一体化系统</w:t>
      </w:r>
      <w:r>
        <w:rPr>
          <w:rFonts w:hint="default" w:ascii="Times New Roman" w:hAnsi="Times New Roman" w:eastAsia="仿宋_GB2312"/>
          <w:sz w:val="32"/>
          <w:szCs w:val="32"/>
          <w:highlight w:val="none"/>
          <w:lang w:eastAsia="zh-CN"/>
        </w:rPr>
        <w:t>，</w:t>
      </w:r>
      <w:r>
        <w:rPr>
          <w:rFonts w:ascii="Times New Roman" w:hAnsi="Times New Roman" w:eastAsia="仿宋_GB2312"/>
          <w:sz w:val="32"/>
          <w:szCs w:val="32"/>
          <w:highlight w:val="none"/>
        </w:rPr>
        <w:t>完成三维高质量沉浸视频内容</w:t>
      </w:r>
      <w:r>
        <w:rPr>
          <w:rFonts w:hint="default" w:ascii="Times New Roman" w:hAnsi="Times New Roman" w:eastAsia="仿宋_GB2312"/>
          <w:sz w:val="32"/>
          <w:szCs w:val="32"/>
          <w:highlight w:val="none"/>
          <w:lang w:val="en-US" w:eastAsia="zh-CN"/>
        </w:rPr>
        <w:t>制播，</w:t>
      </w:r>
      <w:r>
        <w:rPr>
          <w:rFonts w:ascii="Times New Roman" w:hAnsi="Times New Roman" w:eastAsia="仿宋_GB2312"/>
          <w:sz w:val="32"/>
          <w:szCs w:val="32"/>
          <w:highlight w:val="none"/>
        </w:rPr>
        <w:t>支持不少于5种VR</w:t>
      </w:r>
      <w:r>
        <w:rPr>
          <w:rFonts w:hint="default" w:ascii="Times New Roman" w:hAnsi="Times New Roman" w:eastAsia="仿宋_GB2312"/>
          <w:sz w:val="32"/>
          <w:szCs w:val="32"/>
          <w:highlight w:val="none"/>
          <w:lang w:val="en-US" w:eastAsia="zh-CN"/>
        </w:rPr>
        <w:t>/MR</w:t>
      </w:r>
      <w:r>
        <w:rPr>
          <w:rFonts w:ascii="Times New Roman" w:hAnsi="Times New Roman" w:eastAsia="仿宋_GB2312"/>
          <w:sz w:val="32"/>
          <w:szCs w:val="32"/>
          <w:highlight w:val="none"/>
        </w:rPr>
        <w:t>设备跨平台适配</w:t>
      </w:r>
      <w:r>
        <w:rPr>
          <w:rFonts w:hint="default" w:ascii="Times New Roman" w:hAnsi="Times New Roman" w:eastAsia="仿宋_GB2312"/>
          <w:sz w:val="32"/>
          <w:szCs w:val="32"/>
          <w:highlight w:val="none"/>
          <w:lang w:eastAsia="zh-CN"/>
        </w:rPr>
        <w:t>，</w:t>
      </w:r>
      <w:r>
        <w:rPr>
          <w:rFonts w:ascii="Times New Roman" w:hAnsi="Times New Roman" w:eastAsia="仿宋_GB2312"/>
          <w:sz w:val="32"/>
          <w:szCs w:val="32"/>
          <w:highlight w:val="none"/>
        </w:rPr>
        <w:t>用户播放量</w:t>
      </w:r>
      <w:r>
        <w:rPr>
          <w:rFonts w:hint="default" w:ascii="Times New Roman" w:hAnsi="Times New Roman" w:eastAsia="仿宋_GB2312"/>
          <w:sz w:val="32"/>
          <w:szCs w:val="32"/>
          <w:highlight w:val="none"/>
        </w:rPr>
        <w:t>不少于10万</w:t>
      </w:r>
      <w:r>
        <w:rPr>
          <w:rFonts w:hint="default" w:ascii="Times New Roman" w:hAnsi="Times New Roman" w:eastAsia="仿宋_GB2312"/>
          <w:sz w:val="32"/>
          <w:szCs w:val="32"/>
          <w:highlight w:val="none"/>
          <w:lang w:eastAsia="zh-CN"/>
        </w:rPr>
        <w:t>。</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ind w:firstLine="642" w:firstLineChars="200"/>
        <w:textAlignment w:val="auto"/>
        <w:outlineLvl w:val="3"/>
        <w:rPr>
          <w:rFonts w:hint="default" w:ascii="Times New Roman" w:hAnsi="Times New Roman" w:eastAsia="仿宋_GB2312"/>
          <w:b/>
          <w:bCs/>
          <w:sz w:val="32"/>
          <w:szCs w:val="32"/>
          <w:highlight w:val="none"/>
          <w:lang w:val="en-US" w:eastAsia="zh-CN"/>
        </w:rPr>
      </w:pPr>
      <w:r>
        <w:rPr>
          <w:rFonts w:hint="default" w:ascii="Times New Roman" w:hAnsi="Times New Roman" w:cs="Times New Roman"/>
          <w:b/>
          <w:bCs/>
          <w:kern w:val="2"/>
          <w:sz w:val="32"/>
          <w:szCs w:val="32"/>
          <w:highlight w:val="none"/>
          <w:lang w:val="en-US" w:eastAsia="zh-CN" w:bidi="ar-SA"/>
        </w:rPr>
        <w:t xml:space="preserve">2. </w:t>
      </w:r>
      <w:r>
        <w:rPr>
          <w:rFonts w:hint="default" w:ascii="Times New Roman" w:hAnsi="Times New Roman" w:eastAsia="仿宋_GB2312"/>
          <w:b/>
          <w:bCs/>
          <w:sz w:val="32"/>
          <w:szCs w:val="32"/>
          <w:highlight w:val="none"/>
          <w:lang w:val="en-US" w:eastAsia="zh-CN"/>
        </w:rPr>
        <w:t>高精动态AI+AR空间计算平台</w:t>
      </w:r>
    </w:p>
    <w:p>
      <w:pPr>
        <w:keepNext w:val="0"/>
        <w:keepLines w:val="0"/>
        <w:pageBreakBefore w:val="0"/>
        <w:kinsoku/>
        <w:wordWrap/>
        <w:overflowPunct/>
        <w:topLinePunct w:val="0"/>
        <w:autoSpaceDE/>
        <w:autoSpaceDN/>
        <w:bidi w:val="0"/>
        <w:adjustRightInd/>
        <w:snapToGrid/>
        <w:spacing w:beforeAutospacing="0" w:afterAutospacing="0"/>
        <w:ind w:firstLine="642" w:firstLineChars="200"/>
        <w:textAlignment w:val="auto"/>
        <w:outlineLvl w:val="9"/>
        <w:rPr>
          <w:rFonts w:ascii="Times New Roman" w:hAnsi="Times New Roman" w:eastAsia="仿宋_GB2312"/>
          <w:sz w:val="32"/>
          <w:szCs w:val="32"/>
          <w:highlight w:val="none"/>
        </w:rPr>
      </w:pPr>
      <w:r>
        <w:rPr>
          <w:rFonts w:hint="default" w:ascii="Times New Roman" w:hAnsi="Times New Roman"/>
          <w:b/>
          <w:bCs/>
          <w:sz w:val="32"/>
          <w:szCs w:val="32"/>
          <w:highlight w:val="none"/>
          <w:lang w:val="en-US" w:eastAsia="zh-CN"/>
        </w:rPr>
        <w:t>揭榜任务</w:t>
      </w:r>
      <w:r>
        <w:rPr>
          <w:rFonts w:hint="default" w:ascii="Times New Roman" w:hAnsi="Times New Roman" w:eastAsia="仿宋_GB2312"/>
          <w:b/>
          <w:bCs/>
          <w:sz w:val="32"/>
          <w:szCs w:val="32"/>
          <w:highlight w:val="none"/>
          <w:lang w:val="en-US" w:eastAsia="zh-CN"/>
        </w:rPr>
        <w:t>：</w:t>
      </w:r>
      <w:r>
        <w:rPr>
          <w:rFonts w:ascii="Times New Roman" w:hAnsi="Times New Roman" w:eastAsia="仿宋_GB2312"/>
          <w:sz w:val="32"/>
          <w:szCs w:val="32"/>
          <w:highlight w:val="none"/>
        </w:rPr>
        <w:t>围绕室内外复杂环境中AR应用规模化部署需求，研究融合SLAM、VPS与AI感知的混合追踪定位技术，实现高精度定位、快速初始化、稳定重定位和多终端空间同步</w:t>
      </w:r>
      <w:r>
        <w:rPr>
          <w:rFonts w:hint="default" w:ascii="Times New Roman" w:hAnsi="Times New Roman" w:eastAsia="仿宋_GB2312"/>
          <w:sz w:val="32"/>
          <w:szCs w:val="32"/>
          <w:highlight w:val="none"/>
          <w:lang w:eastAsia="zh-CN"/>
        </w:rPr>
        <w:t>。</w:t>
      </w:r>
      <w:r>
        <w:rPr>
          <w:rFonts w:ascii="Times New Roman" w:hAnsi="Times New Roman" w:eastAsia="仿宋_GB2312"/>
          <w:sz w:val="32"/>
          <w:szCs w:val="32"/>
          <w:highlight w:val="none"/>
        </w:rPr>
        <w:t>研究空间地图预建、语义融合、众包采集与动态更新技术，实现跨场景地图资产管理和持续维护</w:t>
      </w:r>
      <w:r>
        <w:rPr>
          <w:rFonts w:hint="default" w:ascii="Times New Roman" w:hAnsi="Times New Roman" w:eastAsia="仿宋_GB2312"/>
          <w:sz w:val="32"/>
          <w:szCs w:val="32"/>
          <w:highlight w:val="none"/>
          <w:lang w:eastAsia="zh-CN"/>
        </w:rPr>
        <w:t>。</w:t>
      </w:r>
      <w:r>
        <w:rPr>
          <w:rFonts w:ascii="Times New Roman" w:hAnsi="Times New Roman" w:eastAsia="仿宋_GB2312"/>
          <w:sz w:val="32"/>
          <w:szCs w:val="32"/>
          <w:highlight w:val="none"/>
        </w:rPr>
        <w:t>研究低门槛AR内容开发、端云渲染与</w:t>
      </w:r>
      <w:r>
        <w:rPr>
          <w:rFonts w:hint="default" w:ascii="Times New Roman" w:hAnsi="Times New Roman" w:eastAsia="仿宋_GB2312"/>
          <w:sz w:val="32"/>
          <w:szCs w:val="32"/>
          <w:highlight w:val="none"/>
          <w:lang w:val="en-US" w:eastAsia="zh-CN"/>
        </w:rPr>
        <w:t>智能</w:t>
      </w:r>
      <w:r>
        <w:rPr>
          <w:rFonts w:ascii="Times New Roman" w:hAnsi="Times New Roman" w:eastAsia="仿宋_GB2312"/>
          <w:sz w:val="32"/>
          <w:szCs w:val="32"/>
          <w:highlight w:val="none"/>
        </w:rPr>
        <w:t>交互技术，实现内容快速生成、跨终端适配和场景化部署</w:t>
      </w:r>
      <w:r>
        <w:rPr>
          <w:rFonts w:hint="default" w:ascii="Times New Roman" w:hAnsi="Times New Roman" w:eastAsia="仿宋_GB2312"/>
          <w:sz w:val="32"/>
          <w:szCs w:val="32"/>
          <w:highlight w:val="none"/>
          <w:lang w:val="en-US" w:eastAsia="zh-CN"/>
        </w:rPr>
        <w:t>，同时</w:t>
      </w:r>
      <w:r>
        <w:rPr>
          <w:rFonts w:ascii="Times New Roman" w:hAnsi="Times New Roman" w:eastAsia="仿宋_GB2312"/>
          <w:sz w:val="32"/>
          <w:szCs w:val="32"/>
          <w:highlight w:val="none"/>
        </w:rPr>
        <w:t>提升复杂环境下的交互理解</w:t>
      </w:r>
      <w:r>
        <w:rPr>
          <w:rFonts w:hint="default" w:ascii="Times New Roman" w:hAnsi="Times New Roman" w:eastAsia="仿宋_GB2312"/>
          <w:sz w:val="32"/>
          <w:szCs w:val="32"/>
          <w:highlight w:val="none"/>
          <w:lang w:val="en-US" w:eastAsia="zh-CN"/>
        </w:rPr>
        <w:t>与</w:t>
      </w:r>
      <w:r>
        <w:rPr>
          <w:rFonts w:ascii="Times New Roman" w:hAnsi="Times New Roman" w:eastAsia="仿宋_GB2312"/>
          <w:sz w:val="32"/>
          <w:szCs w:val="32"/>
          <w:highlight w:val="none"/>
        </w:rPr>
        <w:t>主动服务</w:t>
      </w:r>
      <w:r>
        <w:rPr>
          <w:rFonts w:hint="default" w:ascii="Times New Roman" w:hAnsi="Times New Roman" w:eastAsia="仿宋_GB2312"/>
          <w:sz w:val="32"/>
          <w:szCs w:val="32"/>
          <w:highlight w:val="none"/>
          <w:lang w:val="en-US" w:eastAsia="zh-CN"/>
        </w:rPr>
        <w:t>能力</w:t>
      </w:r>
      <w:r>
        <w:rPr>
          <w:rFonts w:ascii="Times New Roman" w:hAnsi="Times New Roman" w:eastAsia="仿宋_GB2312"/>
          <w:sz w:val="32"/>
          <w:szCs w:val="32"/>
          <w:highlight w:val="none"/>
        </w:rPr>
        <w:t>；</w:t>
      </w:r>
    </w:p>
    <w:p>
      <w:pPr>
        <w:keepNext w:val="0"/>
        <w:keepLines w:val="0"/>
        <w:pageBreakBefore w:val="0"/>
        <w:kinsoku/>
        <w:wordWrap/>
        <w:overflowPunct/>
        <w:topLinePunct w:val="0"/>
        <w:autoSpaceDE/>
        <w:autoSpaceDN/>
        <w:bidi w:val="0"/>
        <w:adjustRightInd/>
        <w:snapToGrid/>
        <w:spacing w:beforeAutospacing="0" w:afterAutospacing="0"/>
        <w:ind w:firstLine="642" w:firstLineChars="200"/>
        <w:textAlignment w:val="auto"/>
        <w:outlineLvl w:val="9"/>
        <w:rPr>
          <w:rFonts w:hint="default" w:ascii="Times New Roman" w:hAnsi="Times New Roman" w:eastAsia="宋体" w:cs="Times New Roman"/>
          <w:sz w:val="32"/>
          <w:szCs w:val="32"/>
          <w:highlight w:val="none"/>
          <w:lang w:val="en-US" w:eastAsia="zh-CN"/>
        </w:rPr>
      </w:pPr>
      <w:r>
        <w:rPr>
          <w:rFonts w:hint="default" w:ascii="Times New Roman" w:hAnsi="Times New Roman" w:eastAsia="仿宋_GB2312"/>
          <w:b/>
          <w:bCs/>
          <w:sz w:val="32"/>
          <w:szCs w:val="32"/>
          <w:highlight w:val="none"/>
          <w:lang w:val="en-US" w:eastAsia="zh-CN"/>
        </w:rPr>
        <w:t>预期目标：</w:t>
      </w:r>
      <w:r>
        <w:rPr>
          <w:rFonts w:hint="default" w:ascii="Times New Roman" w:hAnsi="Times New Roman" w:eastAsia="仿宋_GB2312"/>
          <w:sz w:val="32"/>
          <w:szCs w:val="32"/>
          <w:highlight w:val="none"/>
          <w:lang w:val="en-US" w:eastAsia="zh-CN"/>
        </w:rPr>
        <w:t>到2027年，</w:t>
      </w:r>
      <w:r>
        <w:rPr>
          <w:rFonts w:ascii="Times New Roman" w:hAnsi="Times New Roman" w:eastAsia="仿宋_GB2312"/>
          <w:sz w:val="32"/>
          <w:szCs w:val="32"/>
          <w:highlight w:val="none"/>
        </w:rPr>
        <w:t>高精动态AI+AR空间计算平台</w:t>
      </w:r>
      <w:r>
        <w:rPr>
          <w:rFonts w:hint="default" w:ascii="Times New Roman" w:hAnsi="Times New Roman" w:eastAsia="仿宋_GB2312"/>
          <w:sz w:val="32"/>
          <w:szCs w:val="32"/>
          <w:highlight w:val="none"/>
          <w:lang w:val="en-US" w:eastAsia="zh-CN"/>
        </w:rPr>
        <w:t>（含配套AR内容开发工具链）</w:t>
      </w:r>
      <w:r>
        <w:rPr>
          <w:rFonts w:ascii="Times New Roman" w:hAnsi="Times New Roman" w:eastAsia="仿宋_GB2312"/>
          <w:sz w:val="32"/>
          <w:szCs w:val="32"/>
          <w:highlight w:val="none"/>
        </w:rPr>
        <w:t>支持文旅</w:t>
      </w:r>
      <w:r>
        <w:rPr>
          <w:rFonts w:hint="default" w:ascii="Times New Roman" w:hAnsi="Times New Roman" w:eastAsia="仿宋_GB2312"/>
          <w:sz w:val="32"/>
          <w:szCs w:val="32"/>
          <w:highlight w:val="none"/>
          <w:lang w:val="en-US" w:eastAsia="zh-CN"/>
        </w:rPr>
        <w:t>文博</w:t>
      </w:r>
      <w:r>
        <w:rPr>
          <w:rFonts w:ascii="Times New Roman" w:hAnsi="Times New Roman" w:eastAsia="仿宋_GB2312"/>
          <w:sz w:val="32"/>
          <w:szCs w:val="32"/>
          <w:highlight w:val="none"/>
        </w:rPr>
        <w:t>、</w:t>
      </w:r>
      <w:r>
        <w:rPr>
          <w:rFonts w:hint="default" w:ascii="Times New Roman" w:hAnsi="Times New Roman" w:eastAsia="仿宋_GB2312"/>
          <w:sz w:val="32"/>
          <w:szCs w:val="32"/>
          <w:highlight w:val="none"/>
          <w:lang w:val="en-US" w:eastAsia="zh-CN"/>
        </w:rPr>
        <w:t>商业贸易</w:t>
      </w:r>
      <w:r>
        <w:rPr>
          <w:rFonts w:ascii="Times New Roman" w:hAnsi="Times New Roman" w:eastAsia="仿宋_GB2312"/>
          <w:sz w:val="32"/>
          <w:szCs w:val="32"/>
          <w:highlight w:val="none"/>
        </w:rPr>
        <w:t>、工业</w:t>
      </w:r>
      <w:r>
        <w:rPr>
          <w:rFonts w:hint="default" w:ascii="Times New Roman" w:hAnsi="Times New Roman" w:eastAsia="仿宋_GB2312"/>
          <w:sz w:val="32"/>
          <w:szCs w:val="32"/>
          <w:highlight w:val="none"/>
          <w:lang w:val="en-US" w:eastAsia="zh-CN"/>
        </w:rPr>
        <w:t>生产</w:t>
      </w:r>
      <w:r>
        <w:rPr>
          <w:rFonts w:ascii="Times New Roman" w:hAnsi="Times New Roman" w:eastAsia="仿宋_GB2312"/>
          <w:sz w:val="32"/>
          <w:szCs w:val="32"/>
          <w:highlight w:val="none"/>
        </w:rPr>
        <w:t>等不少于3类典型场景应用部署。平台</w:t>
      </w:r>
      <w:r>
        <w:rPr>
          <w:rFonts w:hint="default" w:ascii="Times New Roman" w:hAnsi="Times New Roman" w:eastAsia="仿宋_GB2312"/>
          <w:sz w:val="32"/>
          <w:szCs w:val="32"/>
          <w:highlight w:val="none"/>
        </w:rPr>
        <w:t>室内环境定位误差小于</w:t>
      </w:r>
      <w:r>
        <w:rPr>
          <w:rFonts w:ascii="Times New Roman" w:hAnsi="Times New Roman" w:eastAsia="仿宋_GB2312"/>
          <w:sz w:val="32"/>
          <w:szCs w:val="32"/>
          <w:highlight w:val="none"/>
        </w:rPr>
        <w:t>5</w:t>
      </w:r>
      <w:r>
        <w:rPr>
          <w:rFonts w:hint="default" w:ascii="Times New Roman" w:hAnsi="Times New Roman" w:eastAsia="仿宋_GB2312"/>
          <w:sz w:val="32"/>
          <w:szCs w:val="32"/>
          <w:highlight w:val="none"/>
        </w:rPr>
        <w:t>厘米，室外环境定位误差小于1</w:t>
      </w:r>
      <w:r>
        <w:rPr>
          <w:rFonts w:ascii="Times New Roman" w:hAnsi="Times New Roman" w:eastAsia="仿宋_GB2312"/>
          <w:sz w:val="32"/>
          <w:szCs w:val="32"/>
          <w:highlight w:val="none"/>
        </w:rPr>
        <w:t>0</w:t>
      </w:r>
      <w:r>
        <w:rPr>
          <w:rFonts w:hint="default" w:ascii="Times New Roman" w:hAnsi="Times New Roman" w:eastAsia="仿宋_GB2312"/>
          <w:sz w:val="32"/>
          <w:szCs w:val="32"/>
          <w:highlight w:val="none"/>
        </w:rPr>
        <w:t>厘米，</w:t>
      </w:r>
      <w:r>
        <w:rPr>
          <w:rFonts w:ascii="Times New Roman" w:hAnsi="Times New Roman" w:eastAsia="仿宋_GB2312"/>
          <w:sz w:val="32"/>
          <w:szCs w:val="32"/>
          <w:highlight w:val="none"/>
        </w:rPr>
        <w:t>户外自然场景</w:t>
      </w:r>
      <w:r>
        <w:rPr>
          <w:rFonts w:hint="default" w:ascii="Times New Roman" w:hAnsi="Times New Roman" w:eastAsia="仿宋_GB2312"/>
          <w:sz w:val="32"/>
          <w:szCs w:val="32"/>
          <w:highlight w:val="none"/>
        </w:rPr>
        <w:t>定位误差小于</w:t>
      </w:r>
      <w:r>
        <w:rPr>
          <w:rFonts w:ascii="Times New Roman" w:hAnsi="Times New Roman" w:eastAsia="仿宋_GB2312"/>
          <w:sz w:val="32"/>
          <w:szCs w:val="32"/>
          <w:highlight w:val="none"/>
        </w:rPr>
        <w:t>20</w:t>
      </w:r>
      <w:r>
        <w:rPr>
          <w:rFonts w:hint="default" w:ascii="Times New Roman" w:hAnsi="Times New Roman" w:eastAsia="仿宋_GB2312"/>
          <w:sz w:val="32"/>
          <w:szCs w:val="32"/>
          <w:highlight w:val="none"/>
        </w:rPr>
        <w:t>厘米</w:t>
      </w:r>
      <w:r>
        <w:rPr>
          <w:rFonts w:hint="default" w:ascii="Times New Roman" w:hAnsi="Times New Roman" w:eastAsia="仿宋_GB2312"/>
          <w:sz w:val="32"/>
          <w:szCs w:val="32"/>
          <w:highlight w:val="none"/>
          <w:lang w:eastAsia="zh-CN"/>
        </w:rPr>
        <w:t>。</w:t>
      </w:r>
      <w:r>
        <w:rPr>
          <w:rFonts w:hint="default" w:ascii="Times New Roman" w:hAnsi="Times New Roman" w:eastAsia="仿宋_GB2312"/>
          <w:sz w:val="32"/>
          <w:szCs w:val="32"/>
          <w:highlight w:val="none"/>
        </w:rPr>
        <w:t>从设备启动到首次定位成功时间不超过</w:t>
      </w:r>
      <w:r>
        <w:rPr>
          <w:rFonts w:ascii="Times New Roman" w:hAnsi="Times New Roman" w:eastAsia="仿宋_GB2312"/>
          <w:sz w:val="32"/>
          <w:szCs w:val="32"/>
          <w:highlight w:val="none"/>
        </w:rPr>
        <w:t>5</w:t>
      </w:r>
      <w:r>
        <w:rPr>
          <w:rFonts w:hint="default" w:ascii="Times New Roman" w:hAnsi="Times New Roman" w:eastAsia="仿宋_GB2312"/>
          <w:sz w:val="32"/>
          <w:szCs w:val="32"/>
          <w:highlight w:val="none"/>
        </w:rPr>
        <w:t>秒</w:t>
      </w:r>
      <w:r>
        <w:rPr>
          <w:rFonts w:hint="default" w:ascii="Times New Roman" w:hAnsi="Times New Roman" w:eastAsia="仿宋_GB2312"/>
          <w:sz w:val="32"/>
          <w:szCs w:val="32"/>
          <w:highlight w:val="none"/>
          <w:lang w:eastAsia="zh-CN"/>
        </w:rPr>
        <w:t>，</w:t>
      </w:r>
      <w:r>
        <w:rPr>
          <w:rFonts w:hint="default" w:ascii="Times New Roman" w:hAnsi="Times New Roman" w:eastAsia="仿宋_GB2312"/>
          <w:sz w:val="32"/>
          <w:szCs w:val="32"/>
          <w:highlight w:val="none"/>
        </w:rPr>
        <w:t>后续在场景中移动时，重定位成功的时间间隔不超过</w:t>
      </w:r>
      <w:r>
        <w:rPr>
          <w:rFonts w:ascii="Times New Roman" w:hAnsi="Times New Roman" w:eastAsia="仿宋_GB2312"/>
          <w:sz w:val="32"/>
          <w:szCs w:val="32"/>
          <w:highlight w:val="none"/>
        </w:rPr>
        <w:t>5</w:t>
      </w:r>
      <w:r>
        <w:rPr>
          <w:rFonts w:hint="default" w:ascii="Times New Roman" w:hAnsi="Times New Roman" w:eastAsia="仿宋_GB2312"/>
          <w:sz w:val="32"/>
          <w:szCs w:val="32"/>
          <w:highlight w:val="none"/>
        </w:rPr>
        <w:t>秒</w:t>
      </w:r>
      <w:r>
        <w:rPr>
          <w:rFonts w:hint="default" w:ascii="Times New Roman" w:hAnsi="Times New Roman" w:eastAsia="仿宋_GB2312"/>
          <w:sz w:val="32"/>
          <w:szCs w:val="32"/>
          <w:highlight w:val="none"/>
          <w:lang w:eastAsia="zh-CN"/>
        </w:rPr>
        <w:t>。</w:t>
      </w:r>
      <w:r>
        <w:rPr>
          <w:rFonts w:ascii="Times New Roman" w:hAnsi="Times New Roman" w:eastAsia="仿宋_GB2312"/>
          <w:sz w:val="32"/>
          <w:szCs w:val="32"/>
          <w:highlight w:val="none"/>
        </w:rPr>
        <w:t>系统渲染帧率不低于60FPS，多终端空间同步保持稳定。空间物体选择、操纵等用户意图理解准确率达到90%以上，具备</w:t>
      </w:r>
      <w:r>
        <w:rPr>
          <w:rFonts w:hint="default" w:ascii="Times New Roman" w:hAnsi="Times New Roman" w:eastAsia="仿宋_GB2312"/>
          <w:sz w:val="32"/>
          <w:szCs w:val="32"/>
          <w:highlight w:val="none"/>
          <w:lang w:val="en-US" w:eastAsia="zh-CN"/>
        </w:rPr>
        <w:t>AR</w:t>
      </w:r>
      <w:r>
        <w:rPr>
          <w:rFonts w:ascii="Times New Roman" w:hAnsi="Times New Roman" w:eastAsia="仿宋_GB2312"/>
          <w:sz w:val="32"/>
          <w:szCs w:val="32"/>
          <w:highlight w:val="none"/>
        </w:rPr>
        <w:t>空间地图动态更新、语义融合、</w:t>
      </w:r>
      <w:r>
        <w:rPr>
          <w:rFonts w:hint="default" w:ascii="Times New Roman" w:hAnsi="Times New Roman" w:eastAsia="仿宋_GB2312"/>
          <w:sz w:val="32"/>
          <w:szCs w:val="32"/>
          <w:highlight w:val="none"/>
          <w:lang w:val="en-US" w:eastAsia="zh-CN"/>
        </w:rPr>
        <w:t>AR</w:t>
      </w:r>
      <w:r>
        <w:rPr>
          <w:rFonts w:ascii="Times New Roman" w:hAnsi="Times New Roman" w:eastAsia="仿宋_GB2312"/>
          <w:sz w:val="32"/>
          <w:szCs w:val="32"/>
          <w:highlight w:val="none"/>
        </w:rPr>
        <w:t>内容快速部署和</w:t>
      </w:r>
      <w:r>
        <w:rPr>
          <w:rFonts w:hint="default" w:ascii="Times New Roman" w:hAnsi="Times New Roman" w:eastAsia="仿宋_GB2312"/>
          <w:sz w:val="32"/>
          <w:szCs w:val="32"/>
          <w:highlight w:val="none"/>
          <w:lang w:val="en-US" w:eastAsia="zh-CN"/>
        </w:rPr>
        <w:t>AI</w:t>
      </w:r>
      <w:r>
        <w:rPr>
          <w:rFonts w:ascii="Times New Roman" w:hAnsi="Times New Roman" w:eastAsia="仿宋_GB2312"/>
          <w:sz w:val="32"/>
          <w:szCs w:val="32"/>
          <w:highlight w:val="none"/>
        </w:rPr>
        <w:t>智能交互服务能力，牵头或参与制定相关</w:t>
      </w:r>
      <w:r>
        <w:rPr>
          <w:rFonts w:hint="default" w:ascii="Times New Roman" w:hAnsi="Times New Roman" w:eastAsia="仿宋_GB2312"/>
          <w:sz w:val="32"/>
          <w:szCs w:val="32"/>
          <w:highlight w:val="none"/>
        </w:rPr>
        <w:t>国家</w:t>
      </w:r>
      <w:r>
        <w:rPr>
          <w:rFonts w:ascii="Times New Roman" w:hAnsi="Times New Roman" w:eastAsia="仿宋_GB2312"/>
          <w:sz w:val="32"/>
          <w:szCs w:val="32"/>
          <w:highlight w:val="none"/>
        </w:rPr>
        <w:t>/行业/团体标准不少于</w:t>
      </w:r>
      <w:r>
        <w:rPr>
          <w:rFonts w:hint="default" w:ascii="Times New Roman" w:hAnsi="Times New Roman" w:eastAsia="仿宋_GB2312"/>
          <w:sz w:val="32"/>
          <w:szCs w:val="32"/>
          <w:highlight w:val="none"/>
          <w:lang w:val="en-US" w:eastAsia="zh-CN"/>
        </w:rPr>
        <w:t>1</w:t>
      </w:r>
      <w:r>
        <w:rPr>
          <w:rFonts w:ascii="Times New Roman" w:hAnsi="Times New Roman" w:eastAsia="仿宋_GB2312"/>
          <w:sz w:val="32"/>
          <w:szCs w:val="32"/>
          <w:highlight w:val="none"/>
        </w:rPr>
        <w:t>项。</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ind w:firstLine="642" w:firstLineChars="200"/>
        <w:textAlignment w:val="auto"/>
        <w:outlineLvl w:val="3"/>
        <w:rPr>
          <w:rFonts w:hint="default" w:ascii="Times New Roman" w:hAnsi="Times New Roman" w:eastAsia="仿宋_GB2312"/>
          <w:b/>
          <w:bCs/>
          <w:sz w:val="32"/>
          <w:szCs w:val="32"/>
          <w:highlight w:val="none"/>
          <w:lang w:val="en-US" w:eastAsia="zh-CN"/>
        </w:rPr>
      </w:pPr>
      <w:r>
        <w:rPr>
          <w:rFonts w:hint="default" w:ascii="Times New Roman" w:hAnsi="Times New Roman"/>
          <w:b/>
          <w:bCs/>
          <w:sz w:val="32"/>
          <w:szCs w:val="32"/>
          <w:highlight w:val="none"/>
          <w:lang w:val="en-US" w:eastAsia="zh-CN"/>
        </w:rPr>
        <w:t xml:space="preserve">3. </w:t>
      </w:r>
      <w:r>
        <w:rPr>
          <w:rFonts w:hint="default" w:ascii="Times New Roman" w:hAnsi="Times New Roman" w:eastAsia="仿宋_GB2312"/>
          <w:b/>
          <w:bCs/>
          <w:sz w:val="32"/>
          <w:szCs w:val="32"/>
          <w:highlight w:val="none"/>
          <w:lang w:val="en-US" w:eastAsia="zh-CN"/>
        </w:rPr>
        <w:t>轻量化高性能AI+AR眼镜</w:t>
      </w:r>
    </w:p>
    <w:p>
      <w:pPr>
        <w:keepNext w:val="0"/>
        <w:keepLines w:val="0"/>
        <w:pageBreakBefore w:val="0"/>
        <w:kinsoku/>
        <w:wordWrap/>
        <w:overflowPunct/>
        <w:topLinePunct w:val="0"/>
        <w:autoSpaceDE/>
        <w:autoSpaceDN/>
        <w:bidi w:val="0"/>
        <w:adjustRightInd/>
        <w:snapToGrid/>
        <w:spacing w:beforeAutospacing="0" w:afterAutospacing="0"/>
        <w:ind w:firstLine="642" w:firstLineChars="200"/>
        <w:textAlignment w:val="auto"/>
        <w:outlineLvl w:val="9"/>
        <w:rPr>
          <w:rFonts w:hint="default" w:ascii="Times New Roman" w:hAnsi="Times New Roman" w:eastAsia="仿宋_GB2312"/>
          <w:sz w:val="32"/>
          <w:szCs w:val="32"/>
          <w:highlight w:val="none"/>
          <w:lang w:val="en-US" w:eastAsia="zh-CN"/>
        </w:rPr>
      </w:pPr>
      <w:r>
        <w:rPr>
          <w:rFonts w:hint="default" w:ascii="Times New Roman" w:hAnsi="Times New Roman"/>
          <w:b/>
          <w:bCs/>
          <w:sz w:val="32"/>
          <w:szCs w:val="32"/>
          <w:highlight w:val="none"/>
          <w:lang w:val="en-US" w:eastAsia="zh-CN"/>
        </w:rPr>
        <w:t>揭榜任务</w:t>
      </w:r>
      <w:r>
        <w:rPr>
          <w:rFonts w:hint="default" w:ascii="Times New Roman" w:hAnsi="Times New Roman" w:eastAsia="仿宋_GB2312"/>
          <w:b/>
          <w:bCs/>
          <w:sz w:val="32"/>
          <w:szCs w:val="32"/>
          <w:highlight w:val="none"/>
          <w:lang w:val="en-US" w:eastAsia="zh-CN"/>
        </w:rPr>
        <w:t>：</w:t>
      </w:r>
      <w:r>
        <w:rPr>
          <w:rFonts w:ascii="Times New Roman" w:hAnsi="Times New Roman" w:eastAsia="仿宋_GB2312"/>
          <w:sz w:val="32"/>
          <w:szCs w:val="32"/>
          <w:highlight w:val="none"/>
        </w:rPr>
        <w:t>研究</w:t>
      </w:r>
      <w:r>
        <w:rPr>
          <w:rFonts w:hint="default" w:ascii="Times New Roman" w:hAnsi="Times New Roman" w:eastAsia="仿宋_GB2312"/>
          <w:sz w:val="32"/>
          <w:szCs w:val="32"/>
          <w:highlight w:val="none"/>
          <w:lang w:val="en-US" w:eastAsia="zh-CN"/>
        </w:rPr>
        <w:t>新材料、</w:t>
      </w:r>
      <w:r>
        <w:rPr>
          <w:rFonts w:ascii="Times New Roman" w:hAnsi="Times New Roman" w:eastAsia="仿宋_GB2312"/>
          <w:sz w:val="32"/>
          <w:szCs w:val="32"/>
          <w:highlight w:val="none"/>
        </w:rPr>
        <w:t>微显示光机、光波导与镜片一体化协同设计技术，</w:t>
      </w:r>
      <w:r>
        <w:rPr>
          <w:rFonts w:hint="default" w:ascii="Times New Roman" w:hAnsi="Times New Roman" w:eastAsia="仿宋_GB2312"/>
          <w:sz w:val="32"/>
          <w:szCs w:val="32"/>
          <w:highlight w:val="none"/>
          <w:lang w:val="en-US" w:eastAsia="zh-CN"/>
        </w:rPr>
        <w:t>实现</w:t>
      </w:r>
      <w:r>
        <w:rPr>
          <w:rFonts w:ascii="Times New Roman" w:hAnsi="Times New Roman" w:eastAsia="仿宋_GB2312"/>
          <w:sz w:val="32"/>
          <w:szCs w:val="32"/>
          <w:highlight w:val="none"/>
        </w:rPr>
        <w:t>高亮度、高透过率、低功耗、轻薄化近眼显示</w:t>
      </w:r>
      <w:r>
        <w:rPr>
          <w:rFonts w:hint="default" w:ascii="Times New Roman" w:hAnsi="Times New Roman" w:eastAsia="仿宋_GB2312"/>
          <w:sz w:val="32"/>
          <w:szCs w:val="32"/>
          <w:highlight w:val="none"/>
          <w:lang w:val="en-US" w:eastAsia="zh-CN"/>
        </w:rPr>
        <w:t>系统</w:t>
      </w:r>
      <w:r>
        <w:rPr>
          <w:rFonts w:ascii="Times New Roman" w:hAnsi="Times New Roman" w:eastAsia="仿宋_GB2312"/>
          <w:sz w:val="32"/>
          <w:szCs w:val="32"/>
          <w:highlight w:val="none"/>
        </w:rPr>
        <w:t>集成；研究轻量化材料</w:t>
      </w:r>
      <w:r>
        <w:rPr>
          <w:rFonts w:hint="default" w:ascii="Times New Roman" w:hAnsi="Times New Roman" w:eastAsia="仿宋_GB2312"/>
          <w:sz w:val="32"/>
          <w:szCs w:val="32"/>
          <w:highlight w:val="none"/>
          <w:lang w:val="en-US" w:eastAsia="zh-CN"/>
        </w:rPr>
        <w:t>与</w:t>
      </w:r>
      <w:r>
        <w:rPr>
          <w:rFonts w:ascii="Times New Roman" w:hAnsi="Times New Roman" w:eastAsia="仿宋_GB2312"/>
          <w:sz w:val="32"/>
          <w:szCs w:val="32"/>
          <w:highlight w:val="none"/>
          <w:lang w:val="en-US" w:eastAsia="zh-CN"/>
        </w:rPr>
        <w:t>含电致变色</w:t>
      </w:r>
      <w:r>
        <w:rPr>
          <w:rFonts w:hint="default" w:ascii="Times New Roman" w:hAnsi="Times New Roman" w:eastAsia="仿宋_GB2312"/>
          <w:sz w:val="32"/>
          <w:szCs w:val="32"/>
          <w:highlight w:val="none"/>
          <w:lang w:val="en-US" w:eastAsia="zh-CN"/>
        </w:rPr>
        <w:t>调光/屈光矫正</w:t>
      </w:r>
      <w:r>
        <w:rPr>
          <w:rFonts w:ascii="Times New Roman" w:hAnsi="Times New Roman" w:eastAsia="仿宋_GB2312"/>
          <w:sz w:val="32"/>
          <w:szCs w:val="32"/>
          <w:highlight w:val="none"/>
          <w:lang w:val="en-US" w:eastAsia="zh-CN"/>
        </w:rPr>
        <w:t>镜片的AR智能镜片</w:t>
      </w:r>
      <w:r>
        <w:rPr>
          <w:rFonts w:hint="default" w:ascii="Times New Roman" w:hAnsi="Times New Roman" w:eastAsia="仿宋_GB2312"/>
          <w:sz w:val="32"/>
          <w:szCs w:val="32"/>
          <w:highlight w:val="none"/>
          <w:lang w:val="en-US" w:eastAsia="zh-CN"/>
        </w:rPr>
        <w:t>模组技术，</w:t>
      </w:r>
      <w:r>
        <w:rPr>
          <w:rFonts w:ascii="Times New Roman" w:hAnsi="Times New Roman" w:eastAsia="仿宋_GB2312"/>
          <w:sz w:val="32"/>
          <w:szCs w:val="32"/>
          <w:highlight w:val="none"/>
        </w:rPr>
        <w:t>实现清晰显示和长时舒适佩戴。研究</w:t>
      </w:r>
      <w:r>
        <w:rPr>
          <w:rFonts w:hint="default" w:ascii="Times New Roman" w:hAnsi="Times New Roman" w:eastAsia="仿宋_GB2312"/>
          <w:sz w:val="32"/>
          <w:szCs w:val="32"/>
          <w:highlight w:val="none"/>
          <w:lang w:val="en-US" w:eastAsia="zh-CN"/>
        </w:rPr>
        <w:t>智能音频处理、第一视角图像采集与手眼自然交互技术，</w:t>
      </w:r>
      <w:r>
        <w:rPr>
          <w:rFonts w:ascii="Times New Roman" w:hAnsi="Times New Roman" w:eastAsia="仿宋_GB2312"/>
          <w:sz w:val="32"/>
          <w:szCs w:val="32"/>
          <w:highlight w:val="none"/>
        </w:rPr>
        <w:t>实现低时延交互、意图理解与多模态反馈，突破复杂环境下成像稳定性、交互可靠性</w:t>
      </w:r>
      <w:r>
        <w:rPr>
          <w:rFonts w:hint="default" w:ascii="Times New Roman" w:hAnsi="Times New Roman" w:eastAsia="仿宋_GB2312"/>
          <w:sz w:val="32"/>
          <w:szCs w:val="32"/>
          <w:highlight w:val="none"/>
          <w:lang w:val="en-US" w:eastAsia="zh-CN"/>
        </w:rPr>
        <w:t>和功耗续航瓶颈。研究适用于眼镜形态的</w:t>
      </w:r>
      <w:r>
        <w:rPr>
          <w:rFonts w:ascii="Times New Roman" w:hAnsi="Times New Roman" w:eastAsia="仿宋_GB2312"/>
          <w:sz w:val="32"/>
          <w:szCs w:val="32"/>
          <w:highlight w:val="none"/>
        </w:rPr>
        <w:t>端云协同多模态智能体技术，实现拍摄记录、语音识别、实时翻译、问答辅助、任务提醒和场景理解。</w:t>
      </w:r>
    </w:p>
    <w:p>
      <w:pPr>
        <w:keepNext w:val="0"/>
        <w:keepLines w:val="0"/>
        <w:pageBreakBefore w:val="0"/>
        <w:kinsoku/>
        <w:wordWrap/>
        <w:overflowPunct/>
        <w:topLinePunct w:val="0"/>
        <w:autoSpaceDE/>
        <w:autoSpaceDN/>
        <w:bidi w:val="0"/>
        <w:adjustRightInd/>
        <w:snapToGrid/>
        <w:spacing w:beforeAutospacing="0" w:afterAutospacing="0"/>
        <w:ind w:firstLine="642" w:firstLineChars="200"/>
        <w:textAlignment w:val="auto"/>
        <w:outlineLvl w:val="9"/>
        <w:rPr>
          <w:rFonts w:hint="default" w:ascii="Times New Roman" w:hAnsi="Times New Roman" w:eastAsia="仿宋_GB2312"/>
          <w:sz w:val="32"/>
          <w:szCs w:val="32"/>
          <w:highlight w:val="none"/>
          <w:lang w:val="en-US" w:eastAsia="zh-CN"/>
        </w:rPr>
      </w:pPr>
      <w:r>
        <w:rPr>
          <w:rFonts w:hint="default" w:ascii="Times New Roman" w:hAnsi="Times New Roman" w:eastAsia="仿宋_GB2312"/>
          <w:b/>
          <w:bCs/>
          <w:sz w:val="32"/>
          <w:szCs w:val="32"/>
          <w:highlight w:val="none"/>
          <w:lang w:val="en-US" w:eastAsia="zh-CN"/>
        </w:rPr>
        <w:t>预期目标：</w:t>
      </w:r>
      <w:r>
        <w:rPr>
          <w:rFonts w:hint="default" w:ascii="Times New Roman" w:hAnsi="Times New Roman" w:eastAsia="仿宋_GB2312"/>
          <w:sz w:val="32"/>
          <w:szCs w:val="32"/>
          <w:highlight w:val="none"/>
          <w:lang w:val="en-US" w:eastAsia="zh-CN"/>
        </w:rPr>
        <w:t>到2027年，</w:t>
      </w:r>
      <w:r>
        <w:rPr>
          <w:rFonts w:ascii="Times New Roman" w:hAnsi="Times New Roman" w:eastAsia="仿宋_GB2312"/>
          <w:sz w:val="32"/>
          <w:szCs w:val="32"/>
          <w:highlight w:val="none"/>
        </w:rPr>
        <w:t>轻量化高性能AI+AR眼镜整机重量不高于70g，典型混合使用</w:t>
      </w:r>
      <w:r>
        <w:rPr>
          <w:rFonts w:hint="default" w:ascii="Times New Roman" w:hAnsi="Times New Roman" w:eastAsia="仿宋_GB2312"/>
          <w:sz w:val="32"/>
          <w:szCs w:val="32"/>
          <w:highlight w:val="none"/>
          <w:lang w:val="en-US" w:eastAsia="zh-CN"/>
        </w:rPr>
        <w:t>场景下，整机</w:t>
      </w:r>
      <w:r>
        <w:rPr>
          <w:rFonts w:ascii="Times New Roman" w:hAnsi="Times New Roman" w:eastAsia="仿宋_GB2312"/>
          <w:sz w:val="32"/>
          <w:szCs w:val="32"/>
          <w:highlight w:val="none"/>
        </w:rPr>
        <w:t>平均功耗不高于1W</w:t>
      </w:r>
      <w:r>
        <w:rPr>
          <w:rFonts w:hint="default" w:ascii="Times New Roman" w:hAnsi="Times New Roman" w:eastAsia="仿宋_GB2312"/>
          <w:sz w:val="32"/>
          <w:szCs w:val="32"/>
          <w:highlight w:val="none"/>
          <w:lang w:eastAsia="zh-CN"/>
        </w:rPr>
        <w:t>。</w:t>
      </w:r>
      <w:r>
        <w:rPr>
          <w:rFonts w:hint="default" w:ascii="Times New Roman" w:hAnsi="Times New Roman" w:eastAsia="仿宋_GB2312"/>
          <w:sz w:val="32"/>
          <w:szCs w:val="32"/>
          <w:highlight w:val="none"/>
          <w:lang w:val="en-US" w:eastAsia="zh-CN"/>
        </w:rPr>
        <w:t>眼镜</w:t>
      </w:r>
      <w:r>
        <w:rPr>
          <w:rFonts w:ascii="Times New Roman" w:hAnsi="Times New Roman" w:eastAsia="仿宋_GB2312"/>
          <w:sz w:val="32"/>
          <w:szCs w:val="32"/>
          <w:highlight w:val="none"/>
        </w:rPr>
        <w:t>视场角</w:t>
      </w:r>
      <w:r>
        <w:rPr>
          <w:rFonts w:hint="default" w:ascii="Times New Roman" w:hAnsi="Times New Roman" w:eastAsia="仿宋_GB2312"/>
          <w:sz w:val="32"/>
          <w:szCs w:val="32"/>
          <w:highlight w:val="none"/>
          <w:lang w:val="en-US" w:eastAsia="zh-CN"/>
        </w:rPr>
        <w:t>不低于</w:t>
      </w:r>
      <w:r>
        <w:rPr>
          <w:rFonts w:ascii="Times New Roman" w:hAnsi="Times New Roman" w:eastAsia="仿宋_GB2312"/>
          <w:sz w:val="32"/>
          <w:szCs w:val="32"/>
          <w:highlight w:val="none"/>
        </w:rPr>
        <w:t>30°，单眼分辨率</w:t>
      </w:r>
      <w:r>
        <w:rPr>
          <w:rFonts w:hint="default" w:ascii="Times New Roman" w:hAnsi="Times New Roman" w:eastAsia="仿宋_GB2312"/>
          <w:sz w:val="32"/>
          <w:szCs w:val="32"/>
          <w:highlight w:val="none"/>
          <w:lang w:val="en-US" w:eastAsia="zh-CN"/>
        </w:rPr>
        <w:t>不低于</w:t>
      </w:r>
      <w:r>
        <w:rPr>
          <w:rFonts w:ascii="Times New Roman" w:hAnsi="Times New Roman" w:eastAsia="仿宋_GB2312"/>
          <w:sz w:val="32"/>
          <w:szCs w:val="32"/>
          <w:highlight w:val="none"/>
        </w:rPr>
        <w:t>480p，户外关键提示信息识读正确率</w:t>
      </w:r>
      <w:r>
        <w:rPr>
          <w:rFonts w:hint="default" w:ascii="Times New Roman" w:hAnsi="Times New Roman" w:eastAsia="仿宋_GB2312"/>
          <w:sz w:val="32"/>
          <w:szCs w:val="32"/>
          <w:highlight w:val="none"/>
          <w:lang w:val="en-US" w:eastAsia="zh-CN"/>
        </w:rPr>
        <w:t>不低于</w:t>
      </w:r>
      <w:r>
        <w:rPr>
          <w:rFonts w:ascii="Times New Roman" w:hAnsi="Times New Roman" w:eastAsia="仿宋_GB2312"/>
          <w:sz w:val="32"/>
          <w:szCs w:val="32"/>
          <w:highlight w:val="none"/>
        </w:rPr>
        <w:t>90%，并保持清晰可读。第一视角拍摄具备低照度、运动防抖等场景适应能力</w:t>
      </w:r>
      <w:r>
        <w:rPr>
          <w:rFonts w:hint="default" w:ascii="Times New Roman" w:hAnsi="Times New Roman" w:eastAsia="仿宋_GB2312"/>
          <w:sz w:val="32"/>
          <w:szCs w:val="32"/>
          <w:highlight w:val="none"/>
          <w:lang w:eastAsia="zh-CN"/>
        </w:rPr>
        <w:t>，</w:t>
      </w:r>
      <w:r>
        <w:rPr>
          <w:rFonts w:ascii="Times New Roman" w:hAnsi="Times New Roman" w:eastAsia="仿宋_GB2312"/>
          <w:sz w:val="32"/>
          <w:szCs w:val="32"/>
          <w:highlight w:val="none"/>
        </w:rPr>
        <w:t>语音指令响应延迟</w:t>
      </w:r>
      <w:r>
        <w:rPr>
          <w:rFonts w:hint="default" w:ascii="Times New Roman" w:hAnsi="Times New Roman" w:eastAsia="仿宋_GB2312"/>
          <w:sz w:val="32"/>
          <w:szCs w:val="32"/>
          <w:highlight w:val="none"/>
          <w:lang w:val="en-US" w:eastAsia="zh-CN"/>
        </w:rPr>
        <w:t>不高于</w:t>
      </w:r>
      <w:r>
        <w:rPr>
          <w:rFonts w:ascii="Times New Roman" w:hAnsi="Times New Roman" w:eastAsia="仿宋_GB2312"/>
          <w:sz w:val="32"/>
          <w:szCs w:val="32"/>
          <w:highlight w:val="none"/>
        </w:rPr>
        <w:t>200ms</w:t>
      </w:r>
      <w:r>
        <w:rPr>
          <w:rFonts w:hint="default" w:ascii="Times New Roman" w:hAnsi="Times New Roman" w:eastAsia="仿宋_GB2312"/>
          <w:sz w:val="32"/>
          <w:szCs w:val="32"/>
          <w:highlight w:val="none"/>
          <w:lang w:eastAsia="zh-CN"/>
        </w:rPr>
        <w:t>。</w:t>
      </w:r>
      <w:r>
        <w:rPr>
          <w:rFonts w:hint="default" w:ascii="Times New Roman" w:hAnsi="Times New Roman" w:eastAsia="仿宋_GB2312"/>
          <w:sz w:val="32"/>
          <w:szCs w:val="32"/>
          <w:highlight w:val="none"/>
          <w:lang w:val="en-US" w:eastAsia="zh-CN"/>
        </w:rPr>
        <w:t>对于具备眼动追踪功能的终端整机，</w:t>
      </w:r>
      <w:r>
        <w:rPr>
          <w:rFonts w:ascii="Times New Roman" w:hAnsi="Times New Roman" w:eastAsia="仿宋_GB2312"/>
          <w:sz w:val="32"/>
          <w:szCs w:val="32"/>
          <w:highlight w:val="none"/>
        </w:rPr>
        <w:t>眼动追踪误差不高于1°</w:t>
      </w:r>
      <w:r>
        <w:rPr>
          <w:rFonts w:hint="default" w:ascii="Times New Roman" w:hAnsi="Times New Roman" w:eastAsia="仿宋_GB2312"/>
          <w:sz w:val="32"/>
          <w:szCs w:val="32"/>
          <w:highlight w:val="none"/>
          <w:lang w:eastAsia="zh-CN"/>
        </w:rPr>
        <w:t>。</w:t>
      </w:r>
      <w:r>
        <w:rPr>
          <w:rFonts w:ascii="Times New Roman" w:hAnsi="Times New Roman" w:eastAsia="仿宋_GB2312"/>
          <w:sz w:val="32"/>
          <w:szCs w:val="32"/>
          <w:highlight w:val="none"/>
        </w:rPr>
        <w:t>物体识别、简单问答、实时翻译等基础智能任务准确率</w:t>
      </w:r>
      <w:r>
        <w:rPr>
          <w:rFonts w:hint="default" w:ascii="Times New Roman" w:hAnsi="Times New Roman" w:eastAsia="仿宋_GB2312"/>
          <w:sz w:val="32"/>
          <w:szCs w:val="32"/>
          <w:highlight w:val="none"/>
          <w:lang w:val="en-US" w:eastAsia="zh-CN"/>
        </w:rPr>
        <w:t>不低于</w:t>
      </w:r>
      <w:r>
        <w:rPr>
          <w:rFonts w:ascii="Times New Roman" w:hAnsi="Times New Roman" w:eastAsia="仿宋_GB2312"/>
          <w:sz w:val="32"/>
          <w:szCs w:val="32"/>
          <w:highlight w:val="none"/>
        </w:rPr>
        <w:t>90%</w:t>
      </w:r>
      <w:r>
        <w:rPr>
          <w:rFonts w:hint="default" w:ascii="Times New Roman" w:hAnsi="Times New Roman" w:eastAsia="仿宋_GB2312"/>
          <w:sz w:val="32"/>
          <w:szCs w:val="32"/>
          <w:highlight w:val="none"/>
          <w:lang w:eastAsia="zh-CN"/>
        </w:rPr>
        <w:t>，</w:t>
      </w:r>
      <w:r>
        <w:rPr>
          <w:rFonts w:hint="default" w:ascii="Times New Roman" w:hAnsi="Times New Roman" w:eastAsia="仿宋_GB2312"/>
          <w:sz w:val="32"/>
          <w:szCs w:val="32"/>
          <w:highlight w:val="none"/>
          <w:lang w:val="en-US" w:eastAsia="zh-CN"/>
        </w:rPr>
        <w:t>适配不少于50款应用的智能体应用商店</w:t>
      </w:r>
      <w:r>
        <w:rPr>
          <w:rFonts w:hint="default" w:ascii="Times New Roman" w:hAnsi="Times New Roman" w:eastAsia="仿宋_GB2312"/>
          <w:sz w:val="32"/>
          <w:szCs w:val="32"/>
          <w:highlight w:val="none"/>
          <w:lang w:eastAsia="zh-CN"/>
        </w:rPr>
        <w:t>。</w:t>
      </w:r>
      <w:r>
        <w:rPr>
          <w:rFonts w:ascii="Times New Roman" w:hAnsi="Times New Roman" w:eastAsia="仿宋_GB2312"/>
          <w:sz w:val="32"/>
          <w:szCs w:val="32"/>
          <w:highlight w:val="none"/>
        </w:rPr>
        <w:t>在文旅、工业、商贸等</w:t>
      </w:r>
      <w:r>
        <w:rPr>
          <w:rFonts w:hint="default" w:ascii="Times New Roman" w:hAnsi="Times New Roman" w:eastAsia="仿宋_GB2312"/>
          <w:sz w:val="32"/>
          <w:szCs w:val="32"/>
          <w:highlight w:val="none"/>
          <w:lang w:val="en-US" w:eastAsia="zh-CN"/>
        </w:rPr>
        <w:t>不少于3个典型行业场景</w:t>
      </w:r>
      <w:r>
        <w:rPr>
          <w:rFonts w:ascii="Times New Roman" w:hAnsi="Times New Roman" w:eastAsia="仿宋_GB2312"/>
          <w:sz w:val="32"/>
          <w:szCs w:val="32"/>
          <w:highlight w:val="none"/>
        </w:rPr>
        <w:t>完成应用示范</w:t>
      </w:r>
      <w:r>
        <w:rPr>
          <w:rFonts w:hint="default" w:ascii="Times New Roman" w:hAnsi="Times New Roman" w:eastAsia="仿宋_GB2312"/>
          <w:sz w:val="32"/>
          <w:szCs w:val="32"/>
          <w:highlight w:val="none"/>
          <w:lang w:eastAsia="zh-CN"/>
        </w:rPr>
        <w:t>，</w:t>
      </w:r>
      <w:r>
        <w:rPr>
          <w:rFonts w:ascii="Times New Roman" w:hAnsi="Times New Roman" w:eastAsia="仿宋_GB2312"/>
          <w:sz w:val="32"/>
          <w:szCs w:val="32"/>
          <w:highlight w:val="none"/>
        </w:rPr>
        <w:t>申请发明专利</w:t>
      </w:r>
      <w:r>
        <w:rPr>
          <w:rFonts w:hint="default" w:ascii="Times New Roman" w:hAnsi="Times New Roman" w:eastAsia="仿宋_GB2312"/>
          <w:sz w:val="32"/>
          <w:szCs w:val="32"/>
          <w:highlight w:val="none"/>
          <w:lang w:val="en-US" w:eastAsia="zh-CN"/>
        </w:rPr>
        <w:t>不少于</w:t>
      </w:r>
      <w:r>
        <w:rPr>
          <w:rFonts w:ascii="Times New Roman" w:hAnsi="Times New Roman" w:eastAsia="仿宋_GB2312"/>
          <w:sz w:val="32"/>
          <w:szCs w:val="32"/>
          <w:highlight w:val="none"/>
        </w:rPr>
        <w:t>3项（其中授权</w:t>
      </w:r>
      <w:r>
        <w:rPr>
          <w:rFonts w:hint="default" w:ascii="Times New Roman" w:hAnsi="Times New Roman" w:eastAsia="仿宋_GB2312"/>
          <w:sz w:val="32"/>
          <w:szCs w:val="32"/>
          <w:highlight w:val="none"/>
          <w:lang w:val="en-US" w:eastAsia="zh-CN"/>
        </w:rPr>
        <w:t>不少于</w:t>
      </w:r>
      <w:r>
        <w:rPr>
          <w:rFonts w:ascii="Times New Roman" w:hAnsi="Times New Roman" w:eastAsia="仿宋_GB2312"/>
          <w:sz w:val="32"/>
          <w:szCs w:val="32"/>
          <w:highlight w:val="none"/>
        </w:rPr>
        <w:t>1项）</w:t>
      </w:r>
      <w:r>
        <w:rPr>
          <w:rFonts w:hint="default" w:ascii="Times New Roman" w:hAnsi="Times New Roman" w:eastAsia="仿宋_GB2312"/>
          <w:sz w:val="32"/>
          <w:szCs w:val="32"/>
          <w:highlight w:val="none"/>
          <w:lang w:eastAsia="zh-CN"/>
        </w:rPr>
        <w:t>，</w:t>
      </w:r>
      <w:r>
        <w:rPr>
          <w:rFonts w:hint="default" w:ascii="Times New Roman" w:hAnsi="Times New Roman" w:eastAsia="仿宋_GB2312"/>
          <w:sz w:val="32"/>
          <w:szCs w:val="32"/>
          <w:highlight w:val="none"/>
          <w:lang w:val="en-US" w:eastAsia="zh-CN"/>
        </w:rPr>
        <w:t>出货量不少于1万台。</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ind w:firstLine="642" w:firstLineChars="200"/>
        <w:textAlignment w:val="auto"/>
        <w:outlineLvl w:val="3"/>
        <w:rPr>
          <w:rFonts w:ascii="Times New Roman" w:hAnsi="Times New Roman" w:eastAsia="仿宋_GB2312"/>
          <w:sz w:val="32"/>
          <w:szCs w:val="32"/>
          <w:highlight w:val="none"/>
        </w:rPr>
      </w:pPr>
      <w:r>
        <w:rPr>
          <w:rFonts w:hint="default" w:ascii="Times New Roman" w:hAnsi="Times New Roman"/>
          <w:b/>
          <w:bCs/>
          <w:sz w:val="32"/>
          <w:szCs w:val="32"/>
          <w:highlight w:val="none"/>
          <w:lang w:val="en-US" w:eastAsia="zh-CN"/>
        </w:rPr>
        <w:t xml:space="preserve">4. </w:t>
      </w:r>
      <w:r>
        <w:rPr>
          <w:rFonts w:hint="default" w:ascii="Times New Roman" w:hAnsi="Times New Roman" w:eastAsia="仿宋_GB2312"/>
          <w:b/>
          <w:bCs/>
          <w:sz w:val="32"/>
          <w:szCs w:val="32"/>
          <w:highlight w:val="none"/>
          <w:lang w:val="en-US" w:eastAsia="zh-CN"/>
        </w:rPr>
        <w:t>高沉浸舒适性虚拟现实大空间系统</w:t>
      </w:r>
    </w:p>
    <w:p>
      <w:pPr>
        <w:keepNext w:val="0"/>
        <w:keepLines w:val="0"/>
        <w:pageBreakBefore w:val="0"/>
        <w:kinsoku/>
        <w:wordWrap/>
        <w:overflowPunct/>
        <w:topLinePunct w:val="0"/>
        <w:autoSpaceDE/>
        <w:autoSpaceDN/>
        <w:bidi w:val="0"/>
        <w:adjustRightInd/>
        <w:snapToGrid/>
        <w:spacing w:beforeAutospacing="0" w:afterAutospacing="0"/>
        <w:ind w:firstLine="642" w:firstLineChars="200"/>
        <w:jc w:val="both"/>
        <w:textAlignment w:val="auto"/>
        <w:outlineLvl w:val="9"/>
        <w:rPr>
          <w:rFonts w:ascii="Times New Roman" w:hAnsi="Times New Roman" w:eastAsia="仿宋_GB2312"/>
          <w:sz w:val="32"/>
          <w:szCs w:val="32"/>
          <w:highlight w:val="none"/>
        </w:rPr>
      </w:pPr>
      <w:r>
        <w:rPr>
          <w:rFonts w:hint="default" w:ascii="Times New Roman" w:hAnsi="Times New Roman"/>
          <w:b/>
          <w:bCs/>
          <w:sz w:val="32"/>
          <w:szCs w:val="32"/>
          <w:highlight w:val="none"/>
          <w:lang w:val="en-US" w:eastAsia="zh-CN"/>
        </w:rPr>
        <w:t>揭榜任务</w:t>
      </w:r>
      <w:r>
        <w:rPr>
          <w:rFonts w:hint="default" w:ascii="Times New Roman" w:hAnsi="Times New Roman" w:eastAsia="仿宋_GB2312"/>
          <w:b/>
          <w:bCs/>
          <w:sz w:val="32"/>
          <w:szCs w:val="32"/>
          <w:highlight w:val="none"/>
          <w:lang w:val="en-US" w:eastAsia="zh-CN"/>
        </w:rPr>
        <w:t>：</w:t>
      </w:r>
      <w:r>
        <w:rPr>
          <w:rFonts w:ascii="Times New Roman" w:hAnsi="Times New Roman" w:eastAsia="仿宋_GB2312"/>
          <w:sz w:val="32"/>
          <w:szCs w:val="32"/>
          <w:highlight w:val="none"/>
        </w:rPr>
        <w:t>研究面向线下运营场景的多人虚拟现实大空间系统集成技术，实现多用户同场地沉浸体验、状态同步、安全避障和稳定运营。</w:t>
      </w:r>
      <w:r>
        <w:rPr>
          <w:rFonts w:hint="default" w:ascii="Times New Roman" w:hAnsi="Times New Roman" w:eastAsia="仿宋_GB2312"/>
          <w:sz w:val="32"/>
          <w:szCs w:val="32"/>
          <w:highlight w:val="none"/>
        </w:rPr>
        <w:t>研究大空间多人场景下实时渲染负载分析、帧时序优化、图形资源调度与画质稳定控制技术，研究面向多人高复杂场景的自动化图形性能分析与自适应渲染优化技术，实现高复杂场景的高保真呈现、稳定帧率和低卡顿体验。</w:t>
      </w:r>
      <w:r>
        <w:rPr>
          <w:rFonts w:ascii="Times New Roman" w:hAnsi="Times New Roman" w:eastAsia="仿宋_GB2312"/>
          <w:sz w:val="32"/>
          <w:szCs w:val="32"/>
          <w:highlight w:val="none"/>
        </w:rPr>
        <w:t>研究本地渲染、边缘渲染、无线串流等多形态部署技术，实现不同终端与网络条件下的低时延内容呈现、交互响应和动作状态同步。研究多源融合追踪定位、多感官反馈、自然交互与舒适性调控技术，提升复杂环境下系统连续运行、多人协同体验、眩晕控制和快速部署运维能力。</w:t>
      </w:r>
    </w:p>
    <w:p>
      <w:pPr>
        <w:keepNext w:val="0"/>
        <w:keepLines w:val="0"/>
        <w:pageBreakBefore w:val="0"/>
        <w:kinsoku/>
        <w:wordWrap/>
        <w:overflowPunct/>
        <w:topLinePunct w:val="0"/>
        <w:autoSpaceDE/>
        <w:autoSpaceDN/>
        <w:bidi w:val="0"/>
        <w:adjustRightInd/>
        <w:snapToGrid/>
        <w:spacing w:beforeAutospacing="0" w:afterAutospacing="0"/>
        <w:ind w:firstLine="642" w:firstLineChars="200"/>
        <w:jc w:val="both"/>
        <w:textAlignment w:val="auto"/>
        <w:outlineLvl w:val="9"/>
        <w:rPr>
          <w:rFonts w:ascii="Times New Roman" w:hAnsi="Times New Roman" w:eastAsia="仿宋_GB2312"/>
          <w:sz w:val="32"/>
          <w:szCs w:val="32"/>
          <w:highlight w:val="none"/>
        </w:rPr>
      </w:pPr>
      <w:r>
        <w:rPr>
          <w:rFonts w:ascii="Times New Roman" w:hAnsi="Times New Roman" w:eastAsia="仿宋_GB2312"/>
          <w:b/>
          <w:bCs/>
          <w:sz w:val="32"/>
          <w:szCs w:val="32"/>
          <w:highlight w:val="none"/>
        </w:rPr>
        <w:t>预期目标：</w:t>
      </w:r>
      <w:r>
        <w:rPr>
          <w:rFonts w:ascii="Times New Roman" w:hAnsi="Times New Roman" w:eastAsia="仿宋_GB2312"/>
          <w:sz w:val="32"/>
          <w:szCs w:val="32"/>
          <w:highlight w:val="none"/>
        </w:rPr>
        <w:t>到2027年，系统支持不少于</w:t>
      </w:r>
      <w:r>
        <w:rPr>
          <w:rFonts w:hint="default" w:ascii="Times New Roman" w:hAnsi="Times New Roman" w:eastAsia="仿宋_GB2312"/>
          <w:sz w:val="32"/>
          <w:szCs w:val="32"/>
          <w:highlight w:val="none"/>
          <w:lang w:val="en-US" w:eastAsia="zh-CN"/>
        </w:rPr>
        <w:t>2</w:t>
      </w:r>
      <w:r>
        <w:rPr>
          <w:rFonts w:ascii="Times New Roman" w:hAnsi="Times New Roman" w:eastAsia="仿宋_GB2312"/>
          <w:sz w:val="32"/>
          <w:szCs w:val="32"/>
          <w:highlight w:val="none"/>
        </w:rPr>
        <w:t>类主流VR/MR及感知交互设备，有效体验面积不低于200平方米，支持</w:t>
      </w:r>
      <w:r>
        <w:rPr>
          <w:rFonts w:hint="default" w:ascii="Times New Roman" w:hAnsi="Times New Roman" w:eastAsia="仿宋_GB2312"/>
          <w:sz w:val="32"/>
          <w:szCs w:val="32"/>
          <w:highlight w:val="none"/>
          <w:lang w:val="en-US" w:eastAsia="zh-CN"/>
        </w:rPr>
        <w:t>2</w:t>
      </w:r>
      <w:r>
        <w:rPr>
          <w:rFonts w:ascii="Times New Roman" w:hAnsi="Times New Roman" w:eastAsia="仿宋_GB2312"/>
          <w:sz w:val="32"/>
          <w:szCs w:val="32"/>
          <w:highlight w:val="none"/>
        </w:rPr>
        <w:t>0人以上同场体验。体验端稳定帧率不低于72FPS，重点体验段支持90FPS；采用无线串流或端</w:t>
      </w:r>
      <w:r>
        <w:rPr>
          <w:rFonts w:hint="default" w:ascii="Times New Roman" w:hAnsi="Times New Roman" w:eastAsia="仿宋_GB2312"/>
          <w:sz w:val="32"/>
          <w:szCs w:val="32"/>
          <w:highlight w:val="none"/>
          <w:lang w:val="en-US" w:eastAsia="zh-CN"/>
        </w:rPr>
        <w:t>云</w:t>
      </w:r>
      <w:r>
        <w:rPr>
          <w:rFonts w:ascii="Times New Roman" w:hAnsi="Times New Roman" w:eastAsia="仿宋_GB2312"/>
          <w:sz w:val="32"/>
          <w:szCs w:val="32"/>
          <w:highlight w:val="none"/>
        </w:rPr>
        <w:t>协同模式时，单终端有效码率不低于</w:t>
      </w:r>
      <w:r>
        <w:rPr>
          <w:rFonts w:hint="default" w:ascii="Times New Roman" w:hAnsi="Times New Roman" w:eastAsia="仿宋_GB2312"/>
          <w:sz w:val="32"/>
          <w:szCs w:val="32"/>
          <w:highlight w:val="none"/>
          <w:lang w:val="en-US" w:eastAsia="zh-CN"/>
        </w:rPr>
        <w:t>8</w:t>
      </w:r>
      <w:r>
        <w:rPr>
          <w:rFonts w:ascii="Times New Roman" w:hAnsi="Times New Roman" w:eastAsia="仿宋_GB2312"/>
          <w:sz w:val="32"/>
          <w:szCs w:val="32"/>
          <w:highlight w:val="none"/>
        </w:rPr>
        <w:t>0Mbps，关键链路时延不高于</w:t>
      </w:r>
      <w:r>
        <w:rPr>
          <w:rFonts w:hint="default" w:ascii="Times New Roman" w:hAnsi="Times New Roman" w:eastAsia="仿宋_GB2312"/>
          <w:sz w:val="32"/>
          <w:szCs w:val="32"/>
          <w:highlight w:val="none"/>
          <w:lang w:val="en-US" w:eastAsia="zh-CN"/>
        </w:rPr>
        <w:t>20ms</w:t>
      </w:r>
      <w:r>
        <w:rPr>
          <w:rFonts w:ascii="Times New Roman" w:hAnsi="Times New Roman" w:eastAsia="仿宋_GB2312"/>
          <w:sz w:val="32"/>
          <w:szCs w:val="32"/>
          <w:highlight w:val="none"/>
        </w:rPr>
        <w:t>，并具备低抖动、多终端带宽调度和动作状态同步能力。典型运营场地内定位稳定、漂移可控、重定位恢复满足连续体验要求</w:t>
      </w:r>
      <w:r>
        <w:rPr>
          <w:rFonts w:hint="default" w:ascii="Times New Roman" w:hAnsi="Times New Roman" w:eastAsia="仿宋_GB2312"/>
          <w:sz w:val="32"/>
          <w:szCs w:val="32"/>
          <w:highlight w:val="none"/>
          <w:lang w:eastAsia="zh-CN"/>
        </w:rPr>
        <w:t>，</w:t>
      </w:r>
      <w:r>
        <w:rPr>
          <w:rFonts w:ascii="Times New Roman" w:hAnsi="Times New Roman" w:eastAsia="仿宋_GB2312"/>
          <w:sz w:val="32"/>
          <w:szCs w:val="32"/>
          <w:highlight w:val="none"/>
        </w:rPr>
        <w:t>关键交互区域定位误差不高于</w:t>
      </w:r>
      <w:r>
        <w:rPr>
          <w:rFonts w:hint="default" w:ascii="Times New Roman" w:hAnsi="Times New Roman" w:eastAsia="仿宋_GB2312"/>
          <w:sz w:val="32"/>
          <w:szCs w:val="32"/>
          <w:highlight w:val="none"/>
          <w:lang w:val="en-US" w:eastAsia="zh-CN"/>
        </w:rPr>
        <w:t>3</w:t>
      </w:r>
      <w:r>
        <w:rPr>
          <w:rFonts w:ascii="Times New Roman" w:hAnsi="Times New Roman" w:eastAsia="仿宋_GB2312"/>
          <w:sz w:val="32"/>
          <w:szCs w:val="32"/>
          <w:highlight w:val="none"/>
        </w:rPr>
        <w:t>cm。具备复杂场景高保真渲染、多人状态同步、自然交互</w:t>
      </w:r>
      <w:r>
        <w:rPr>
          <w:rFonts w:hint="default" w:ascii="Times New Roman" w:hAnsi="Times New Roman" w:eastAsia="仿宋_GB2312"/>
          <w:sz w:val="32"/>
          <w:szCs w:val="32"/>
          <w:highlight w:val="none"/>
          <w:lang w:val="en-US" w:eastAsia="zh-CN"/>
        </w:rPr>
        <w:t>与用户</w:t>
      </w:r>
      <w:r>
        <w:rPr>
          <w:rFonts w:ascii="Times New Roman" w:hAnsi="Times New Roman" w:eastAsia="仿宋_GB2312"/>
          <w:sz w:val="32"/>
          <w:szCs w:val="32"/>
          <w:highlight w:val="none"/>
        </w:rPr>
        <w:t>不适反馈控制能力。</w:t>
      </w:r>
      <w:r>
        <w:rPr>
          <w:rFonts w:hint="default" w:ascii="Times New Roman" w:hAnsi="Times New Roman" w:eastAsia="仿宋_GB2312"/>
          <w:sz w:val="32"/>
          <w:szCs w:val="32"/>
          <w:highlight w:val="none"/>
          <w:lang w:val="en-US" w:eastAsia="zh-CN"/>
        </w:rPr>
        <w:t>系统</w:t>
      </w:r>
      <w:r>
        <w:rPr>
          <w:rFonts w:ascii="Times New Roman" w:hAnsi="Times New Roman" w:eastAsia="仿宋_GB2312"/>
          <w:sz w:val="32"/>
          <w:szCs w:val="32"/>
          <w:highlight w:val="none"/>
        </w:rPr>
        <w:t>支持影视、文旅、教育等不少于2类场景应用，在不少于10家线下场所落地运营</w:t>
      </w:r>
      <w:r>
        <w:rPr>
          <w:rFonts w:hint="default" w:ascii="Times New Roman" w:hAnsi="Times New Roman" w:eastAsia="仿宋_GB2312"/>
          <w:sz w:val="32"/>
          <w:szCs w:val="32"/>
          <w:highlight w:val="none"/>
          <w:lang w:eastAsia="zh-CN"/>
        </w:rPr>
        <w:t>，</w:t>
      </w:r>
      <w:r>
        <w:rPr>
          <w:rFonts w:hint="default" w:ascii="Times New Roman" w:hAnsi="Times New Roman" w:eastAsia="仿宋_GB2312"/>
          <w:sz w:val="32"/>
          <w:szCs w:val="32"/>
          <w:highlight w:val="none"/>
          <w:lang w:val="en-US" w:eastAsia="zh-CN"/>
        </w:rPr>
        <w:t>牵头或参与制定相关国家/行业/团体标准不少于1项。</w:t>
      </w:r>
    </w:p>
    <w:p>
      <w:pPr>
        <w:keepNext w:val="0"/>
        <w:keepLines w:val="0"/>
        <w:pageBreakBefore w:val="0"/>
        <w:numPr>
          <w:ilvl w:val="-1"/>
          <w:numId w:val="0"/>
        </w:numPr>
        <w:kinsoku/>
        <w:wordWrap/>
        <w:overflowPunct/>
        <w:topLinePunct w:val="0"/>
        <w:autoSpaceDE/>
        <w:autoSpaceDN/>
        <w:bidi w:val="0"/>
        <w:adjustRightInd/>
        <w:snapToGrid/>
        <w:spacing w:beforeAutospacing="0" w:afterAutospacing="0"/>
        <w:ind w:firstLine="642" w:firstLineChars="200"/>
        <w:textAlignment w:val="auto"/>
        <w:outlineLvl w:val="3"/>
        <w:rPr>
          <w:rFonts w:hint="default" w:ascii="Times New Roman" w:hAnsi="Times New Roman" w:eastAsia="仿宋_GB2312"/>
          <w:b/>
          <w:bCs/>
          <w:sz w:val="32"/>
          <w:szCs w:val="32"/>
          <w:highlight w:val="none"/>
          <w:lang w:val="en-US" w:eastAsia="zh-CN"/>
        </w:rPr>
      </w:pPr>
      <w:r>
        <w:rPr>
          <w:rFonts w:hint="default" w:ascii="Times New Roman" w:hAnsi="Times New Roman"/>
          <w:b/>
          <w:bCs/>
          <w:sz w:val="32"/>
          <w:szCs w:val="32"/>
          <w:highlight w:val="none"/>
          <w:lang w:val="en-US" w:eastAsia="zh-CN"/>
        </w:rPr>
        <w:t xml:space="preserve">5. </w:t>
      </w:r>
      <w:r>
        <w:rPr>
          <w:rFonts w:hint="default" w:ascii="Times New Roman" w:hAnsi="Times New Roman" w:eastAsia="仿宋_GB2312"/>
          <w:b/>
          <w:bCs/>
          <w:sz w:val="32"/>
          <w:szCs w:val="32"/>
          <w:highlight w:val="none"/>
          <w:lang w:val="en-US" w:eastAsia="zh-CN"/>
        </w:rPr>
        <w:t>消费级终端三维场景重建与交互系统</w:t>
      </w:r>
    </w:p>
    <w:p>
      <w:pPr>
        <w:keepNext w:val="0"/>
        <w:keepLines w:val="0"/>
        <w:pageBreakBefore w:val="0"/>
        <w:kinsoku/>
        <w:wordWrap/>
        <w:overflowPunct/>
        <w:topLinePunct w:val="0"/>
        <w:autoSpaceDE/>
        <w:autoSpaceDN/>
        <w:bidi w:val="0"/>
        <w:adjustRightInd/>
        <w:snapToGrid/>
        <w:spacing w:beforeAutospacing="0" w:afterAutospacing="0"/>
        <w:ind w:firstLine="642" w:firstLineChars="200"/>
        <w:jc w:val="both"/>
        <w:textAlignment w:val="auto"/>
        <w:outlineLvl w:val="9"/>
        <w:rPr>
          <w:rFonts w:hint="default" w:ascii="Times New Roman" w:hAnsi="Times New Roman" w:eastAsia="仿宋_GB2312"/>
          <w:sz w:val="32"/>
          <w:szCs w:val="32"/>
          <w:highlight w:val="none"/>
        </w:rPr>
      </w:pPr>
      <w:r>
        <w:rPr>
          <w:rFonts w:hint="default" w:ascii="Times New Roman" w:hAnsi="Times New Roman"/>
          <w:b/>
          <w:bCs/>
          <w:sz w:val="32"/>
          <w:szCs w:val="32"/>
          <w:highlight w:val="none"/>
          <w:lang w:val="en-US" w:eastAsia="zh-CN"/>
        </w:rPr>
        <w:t>揭榜任务</w:t>
      </w:r>
      <w:r>
        <w:rPr>
          <w:rFonts w:hint="default" w:ascii="Times New Roman" w:hAnsi="Times New Roman" w:eastAsia="仿宋_GB2312"/>
          <w:b/>
          <w:bCs/>
          <w:sz w:val="32"/>
          <w:szCs w:val="32"/>
          <w:highlight w:val="none"/>
          <w:lang w:val="en-US" w:eastAsia="zh-CN"/>
        </w:rPr>
        <w:t>：</w:t>
      </w:r>
      <w:r>
        <w:rPr>
          <w:rFonts w:hint="default" w:ascii="Times New Roman" w:hAnsi="Times New Roman" w:eastAsia="仿宋_GB2312"/>
          <w:sz w:val="32"/>
          <w:szCs w:val="32"/>
          <w:highlight w:val="none"/>
        </w:rPr>
        <w:t>围绕手机、XR终端等消费级设备真实场景数字化需求，研究基于多角度照片、视频和端侧传感数据的低门槛三维采集与端云协同重建技术，实现中小场景快速建模和高真实感还原</w:t>
      </w:r>
      <w:r>
        <w:rPr>
          <w:rFonts w:hint="default" w:ascii="Times New Roman" w:hAnsi="Times New Roman" w:eastAsia="仿宋_GB2312"/>
          <w:sz w:val="32"/>
          <w:szCs w:val="32"/>
          <w:highlight w:val="none"/>
          <w:lang w:eastAsia="zh-CN"/>
        </w:rPr>
        <w:t>。</w:t>
      </w:r>
      <w:r>
        <w:rPr>
          <w:rFonts w:hint="default" w:ascii="Times New Roman" w:hAnsi="Times New Roman" w:eastAsia="仿宋_GB2312"/>
          <w:sz w:val="32"/>
          <w:szCs w:val="32"/>
          <w:highlight w:val="none"/>
        </w:rPr>
        <w:t>研究多视图几何、神经渲染、显式点云/高斯类表示与AIGC辅助等融合建模技术，实现几何结构完整、纹理细节清晰、尺度关系可信的三维场景资产生成。研究3D资产轻量化封装、压缩、跨平台分发与浏览适配技术，实现三维场景在手机、XR终端、主流开发引擎和空间计算应用中的复用、展示和交互。</w:t>
      </w:r>
    </w:p>
    <w:p>
      <w:pPr>
        <w:keepNext w:val="0"/>
        <w:keepLines w:val="0"/>
        <w:pageBreakBefore w:val="0"/>
        <w:kinsoku/>
        <w:wordWrap/>
        <w:overflowPunct/>
        <w:topLinePunct w:val="0"/>
        <w:autoSpaceDE/>
        <w:autoSpaceDN/>
        <w:bidi w:val="0"/>
        <w:adjustRightInd/>
        <w:snapToGrid/>
        <w:spacing w:beforeAutospacing="0" w:afterAutospacing="0"/>
        <w:ind w:firstLine="642" w:firstLineChars="200"/>
        <w:jc w:val="both"/>
        <w:textAlignment w:val="auto"/>
        <w:outlineLvl w:val="9"/>
        <w:rPr>
          <w:rFonts w:hint="default" w:ascii="Times New Roman" w:hAnsi="Times New Roman" w:eastAsia="仿宋_GB2312"/>
          <w:sz w:val="32"/>
          <w:szCs w:val="32"/>
          <w:highlight w:val="none"/>
          <w:lang w:val="en-US" w:eastAsia="zh-CN"/>
        </w:rPr>
      </w:pPr>
      <w:r>
        <w:rPr>
          <w:rFonts w:hint="default" w:ascii="Times New Roman" w:hAnsi="Times New Roman" w:eastAsia="仿宋_GB2312"/>
          <w:b/>
          <w:bCs/>
          <w:sz w:val="32"/>
          <w:szCs w:val="32"/>
          <w:highlight w:val="none"/>
          <w:lang w:val="en-US" w:eastAsia="zh-CN"/>
        </w:rPr>
        <w:t>预期目标：</w:t>
      </w:r>
      <w:r>
        <w:rPr>
          <w:rFonts w:hint="default" w:ascii="Times New Roman" w:hAnsi="Times New Roman" w:eastAsia="仿宋_GB2312"/>
          <w:sz w:val="32"/>
          <w:szCs w:val="32"/>
          <w:highlight w:val="none"/>
          <w:lang w:val="en-US" w:eastAsia="zh-CN"/>
        </w:rPr>
        <w:t>到2027年，系统支持不少于2类消费级终端采集输入，中小场景重建时间不超过10分钟，生成资产具备几何结构完整、纹理细节清晰、尺度关系可信和关键视角连续浏览稳定等能力。系统支持重建成果在手机、XR终端及主流应用环境中浏览与复用，浏览交互帧率不低于60FPS。形成不少于100个样例3D场景资产，在文旅文博、商贸服务、工业生产展示等不少于2类场景完成示范应用，牵头或参与制定消费级终端三维重建相关国家/行业/团体标准不少于1项。</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ind w:firstLine="642" w:firstLineChars="200"/>
        <w:textAlignment w:val="auto"/>
        <w:outlineLvl w:val="3"/>
        <w:rPr>
          <w:rFonts w:hint="default" w:ascii="Times New Roman" w:hAnsi="Times New Roman" w:eastAsia="仿宋_GB2312"/>
          <w:b/>
          <w:bCs/>
          <w:sz w:val="32"/>
          <w:szCs w:val="32"/>
          <w:highlight w:val="none"/>
          <w:lang w:val="en-US" w:eastAsia="zh-CN"/>
        </w:rPr>
      </w:pPr>
      <w:r>
        <w:rPr>
          <w:rFonts w:hint="default" w:ascii="Times New Roman" w:hAnsi="Times New Roman"/>
          <w:b/>
          <w:bCs/>
          <w:sz w:val="32"/>
          <w:szCs w:val="32"/>
          <w:highlight w:val="none"/>
          <w:lang w:val="en-US" w:eastAsia="zh-CN"/>
        </w:rPr>
        <w:t xml:space="preserve">6. </w:t>
      </w:r>
      <w:r>
        <w:rPr>
          <w:rFonts w:hint="default" w:ascii="Times New Roman" w:hAnsi="Times New Roman" w:eastAsia="仿宋_GB2312"/>
          <w:b/>
          <w:bCs/>
          <w:sz w:val="32"/>
          <w:szCs w:val="32"/>
          <w:highlight w:val="none"/>
          <w:lang w:val="en-US" w:eastAsia="zh-CN"/>
        </w:rPr>
        <w:t>面向XR设备的端侧空间智能系统</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2" w:firstLineChars="200"/>
        <w:jc w:val="both"/>
        <w:textAlignment w:val="auto"/>
        <w:outlineLvl w:val="9"/>
        <w:rPr>
          <w:rFonts w:ascii="Times New Roman" w:hAnsi="Times New Roman"/>
          <w:sz w:val="32"/>
          <w:szCs w:val="32"/>
          <w:highlight w:val="none"/>
        </w:rPr>
      </w:pPr>
      <w:r>
        <w:rPr>
          <w:rFonts w:hint="default" w:ascii="Times New Roman" w:hAnsi="Times New Roman" w:cs="Times New Roman"/>
          <w:b/>
          <w:bCs/>
          <w:kern w:val="2"/>
          <w:sz w:val="32"/>
          <w:szCs w:val="32"/>
          <w:highlight w:val="none"/>
          <w:lang w:val="en-US" w:eastAsia="zh-CN" w:bidi="ar-SA"/>
        </w:rPr>
        <w:t>揭榜任务</w:t>
      </w:r>
      <w:r>
        <w:rPr>
          <w:rFonts w:hint="default" w:ascii="Times New Roman" w:hAnsi="Times New Roman" w:eastAsia="仿宋_GB2312" w:cs="Times New Roman"/>
          <w:b/>
          <w:bCs/>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研究面向XR眼镜与协同计算设备的端侧空间智能系统，研究第一人称多模态感知、6DoF定位与3D几何—语义地图协同构建技术，实现空间实体识别、空间锚定、场景更新和空间关系表达。研究端侧多模态智能体、空间记忆、任务规划与端云协同推理技术，实现基于空间上下文的理解、检索、导航和多步任务执行。研究第一人称空间数据采集、标注、脱敏与基准构建技术，形成可复用的空间场景样本、语义标注和交互任务基准，支撑空间理解、场景复现、跨设备适配和系统持续优化。</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2" w:firstLineChars="200"/>
        <w:jc w:val="both"/>
        <w:textAlignment w:val="auto"/>
        <w:outlineLvl w:val="9"/>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b/>
          <w:bCs/>
          <w:kern w:val="2"/>
          <w:sz w:val="32"/>
          <w:szCs w:val="32"/>
          <w:highlight w:val="none"/>
          <w:lang w:val="en-US" w:eastAsia="zh-CN" w:bidi="ar-SA"/>
        </w:rPr>
        <w:t>预期目标：</w:t>
      </w:r>
      <w:r>
        <w:rPr>
          <w:rFonts w:hint="default" w:ascii="Times New Roman" w:hAnsi="Times New Roman" w:eastAsia="仿宋_GB2312" w:cs="Times New Roman"/>
          <w:kern w:val="2"/>
          <w:sz w:val="32"/>
          <w:szCs w:val="32"/>
          <w:highlight w:val="none"/>
          <w:lang w:val="en-US" w:eastAsia="zh-CN" w:bidi="ar-SA"/>
        </w:rPr>
        <w:t>到2027年，支持不少于2类XR终端及手机/计算盒子等协同设备，支持不少于8路传感输入融合，具备6DoF定位、跨会话空间锚定、3D几何与语义地图联合构建能力。空间理解与交互响应时延不高于200ms，空间实体识别与场景理解准确率不低于90%，支持10亿参数级轻量多模态模型端侧或端云协同推理，构建典型场景的第一人称空间数据基准，在生活服务、文旅文博、工业生产等不少于2类场景完成示范应用，牵头或参与相关</w:t>
      </w:r>
      <w:r>
        <w:rPr>
          <w:rFonts w:hint="default" w:ascii="Times New Roman" w:hAnsi="Times New Roman" w:eastAsia="仿宋_GB2312"/>
          <w:sz w:val="32"/>
          <w:szCs w:val="32"/>
          <w:highlight w:val="none"/>
          <w:lang w:val="en-US" w:eastAsia="zh-CN"/>
        </w:rPr>
        <w:t>国家/行业/团体</w:t>
      </w:r>
      <w:r>
        <w:rPr>
          <w:rFonts w:hint="default" w:ascii="Times New Roman" w:hAnsi="Times New Roman" w:eastAsia="仿宋_GB2312" w:cs="Times New Roman"/>
          <w:kern w:val="2"/>
          <w:sz w:val="32"/>
          <w:szCs w:val="32"/>
          <w:highlight w:val="none"/>
          <w:lang w:val="en-US" w:eastAsia="zh-CN" w:bidi="ar-SA"/>
        </w:rPr>
        <w:t>标准不少于1项。</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ind w:firstLine="642" w:firstLineChars="200"/>
        <w:textAlignment w:val="auto"/>
        <w:outlineLvl w:val="3"/>
        <w:rPr>
          <w:rFonts w:hint="default" w:ascii="Times New Roman" w:hAnsi="Times New Roman" w:eastAsia="仿宋_GB2312"/>
          <w:b/>
          <w:bCs/>
          <w:sz w:val="32"/>
          <w:szCs w:val="32"/>
          <w:highlight w:val="none"/>
          <w:lang w:val="en-US" w:eastAsia="zh-CN"/>
        </w:rPr>
      </w:pPr>
      <w:r>
        <w:rPr>
          <w:rFonts w:hint="default" w:ascii="Times New Roman" w:hAnsi="Times New Roman" w:cs="Times New Roman"/>
          <w:b/>
          <w:bCs/>
          <w:kern w:val="2"/>
          <w:sz w:val="32"/>
          <w:szCs w:val="32"/>
          <w:highlight w:val="none"/>
          <w:lang w:val="en-US" w:eastAsia="zh-CN" w:bidi="ar-SA"/>
        </w:rPr>
        <w:t xml:space="preserve">7. </w:t>
      </w:r>
      <w:r>
        <w:rPr>
          <w:rFonts w:hint="default" w:ascii="Times New Roman" w:hAnsi="Times New Roman" w:eastAsia="仿宋_GB2312"/>
          <w:b/>
          <w:bCs/>
          <w:sz w:val="32"/>
          <w:szCs w:val="32"/>
          <w:highlight w:val="none"/>
          <w:lang w:val="en-US" w:eastAsia="zh-CN"/>
        </w:rPr>
        <w:t>面向XR多场景应用的人因功效与体验优化系统</w:t>
      </w:r>
    </w:p>
    <w:p>
      <w:pPr>
        <w:keepNext w:val="0"/>
        <w:keepLines w:val="0"/>
        <w:pageBreakBefore w:val="0"/>
        <w:numPr>
          <w:ilvl w:val="0"/>
          <w:numId w:val="0"/>
        </w:numPr>
        <w:kinsoku/>
        <w:wordWrap/>
        <w:overflowPunct/>
        <w:topLinePunct w:val="0"/>
        <w:autoSpaceDE/>
        <w:autoSpaceDN/>
        <w:bidi w:val="0"/>
        <w:adjustRightInd/>
        <w:snapToGrid/>
        <w:spacing w:beforeAutospacing="0" w:afterAutospacing="0"/>
        <w:ind w:firstLine="642" w:firstLineChars="200"/>
        <w:textAlignment w:val="auto"/>
        <w:outlineLvl w:val="9"/>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b/>
          <w:bCs/>
          <w:sz w:val="32"/>
          <w:szCs w:val="32"/>
          <w:highlight w:val="none"/>
          <w:lang w:val="en-US" w:eastAsia="zh-CN"/>
        </w:rPr>
        <w:t>揭榜任务</w:t>
      </w:r>
      <w:r>
        <w:rPr>
          <w:rFonts w:hint="default" w:ascii="Times New Roman" w:hAnsi="Times New Roman" w:eastAsia="仿宋_GB2312"/>
          <w:b/>
          <w:bCs/>
          <w:sz w:val="32"/>
          <w:szCs w:val="32"/>
          <w:highlight w:val="none"/>
          <w:lang w:val="en-US" w:eastAsia="zh-CN"/>
        </w:rPr>
        <w:t>：</w:t>
      </w:r>
      <w:r>
        <w:rPr>
          <w:rFonts w:hint="default" w:ascii="Times New Roman" w:hAnsi="Times New Roman" w:eastAsia="仿宋_GB2312" w:cs="Times New Roman"/>
          <w:kern w:val="2"/>
          <w:sz w:val="32"/>
          <w:szCs w:val="32"/>
          <w:highlight w:val="none"/>
          <w:lang w:val="en-US" w:eastAsia="zh-CN" w:bidi="ar-SA"/>
        </w:rPr>
        <w:t>围绕XR眼镜及工业生产、文娱文旅、教育培训与商贸服务等应用需求，研究人因数据同步采集与语义对齐技术，实现终端状态、交互行为与体验结果关联。研究多维指标建模与场景化评价技术，实现舒适性、安全可靠、认知效率与沉浸体验等量化分析。研究自适应流程编排、任务复用与体验优化闭环技术，实现跨终端、跨应用、跨场景测评复用。</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b/>
          <w:bCs/>
          <w:sz w:val="32"/>
          <w:szCs w:val="32"/>
          <w:highlight w:val="none"/>
          <w:lang w:val="en-US" w:eastAsia="zh-CN"/>
        </w:rPr>
        <w:t>预期目标：</w:t>
      </w:r>
      <w:r>
        <w:rPr>
          <w:rFonts w:hint="default" w:ascii="Times New Roman" w:hAnsi="Times New Roman" w:eastAsia="仿宋_GB2312" w:cs="Times New Roman"/>
          <w:kern w:val="2"/>
          <w:sz w:val="32"/>
          <w:szCs w:val="32"/>
          <w:highlight w:val="none"/>
          <w:lang w:val="en-US" w:eastAsia="zh-CN" w:bidi="ar-SA"/>
        </w:rPr>
        <w:t>到2027年，支持不少于3类XR终端及不少于2类行业场景接入，支持多源主客观数据统一时钟同步、关键事件联动分析和场景任务过程记录。形成不少于沉浸、舒适、安全、认知、交互、社会接受度等3类核心人因维度和10套以上任务模板，具备流程配置、节点标记与横向比对能力。沉淀不少于50组脱敏样本数据，支撑XR终端与行业应用实现可量化评价、可追溯分析和持续优化，牵头或参与相关</w:t>
      </w:r>
      <w:r>
        <w:rPr>
          <w:rFonts w:hint="default" w:ascii="Times New Roman" w:hAnsi="Times New Roman" w:eastAsia="仿宋_GB2312"/>
          <w:sz w:val="32"/>
          <w:szCs w:val="32"/>
          <w:highlight w:val="none"/>
          <w:lang w:val="en-US" w:eastAsia="zh-CN"/>
        </w:rPr>
        <w:t>国家/行业/团体</w:t>
      </w:r>
      <w:r>
        <w:rPr>
          <w:rFonts w:hint="default" w:ascii="Times New Roman" w:hAnsi="Times New Roman" w:eastAsia="仿宋_GB2312" w:cs="Times New Roman"/>
          <w:kern w:val="2"/>
          <w:sz w:val="32"/>
          <w:szCs w:val="32"/>
          <w:highlight w:val="none"/>
          <w:lang w:val="en-US" w:eastAsia="zh-CN" w:bidi="ar-SA"/>
        </w:rPr>
        <w:t>标准不少于1项。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（二）申报要求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cs="Times New Roman"/>
          <w:b/>
          <w:bCs/>
          <w:sz w:val="32"/>
          <w:szCs w:val="32"/>
          <w:highlight w:val="none"/>
          <w:lang w:val="en-US" w:eastAsia="zh-CN"/>
        </w:rPr>
        <w:t>1. 申报方式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符合条件的申报单位应填写申报材料，盖章后于2026年</w:t>
      </w:r>
      <w:r>
        <w:rPr>
          <w:rFonts w:hint="eastAsia" w:ascii="Times New Roman" w:hAnsi="Times New Roman" w:cs="Times New Roman"/>
          <w:b w:val="0"/>
          <w:bCs w:val="0"/>
          <w:sz w:val="32"/>
          <w:szCs w:val="32"/>
          <w:highlight w:val="none"/>
          <w:lang w:val="en-US" w:eastAsia="zh-CN"/>
        </w:rPr>
        <w:t>8月21日</w:t>
      </w:r>
      <w:r>
        <w:rPr>
          <w:rFonts w:hint="default" w:ascii="Times New Roman" w:hAnsi="Times New Roman" w:eastAsia="仿宋_GB2312" w:cs="Times New Roman"/>
          <w:b w:val="0"/>
          <w:bCs w:val="0"/>
          <w:sz w:val="32"/>
          <w:szCs w:val="32"/>
          <w:highlight w:val="none"/>
          <w:lang w:val="en-US" w:eastAsia="zh-CN"/>
        </w:rPr>
        <w:t>前报送至推荐单位。申报期结束后，推荐单位应汇总申报材料，填写《2026年工业和信息化领域创新任务揭榜单位推荐汇总表》并盖章，将推荐表及拟推荐申报材料扫描件于2026年</w:t>
      </w:r>
      <w:r>
        <w:rPr>
          <w:rFonts w:hint="eastAsia" w:ascii="Times New Roman" w:hAnsi="Times New Roman" w:cs="Times New Roman"/>
          <w:b w:val="0"/>
          <w:bCs w:val="0"/>
          <w:sz w:val="32"/>
          <w:szCs w:val="32"/>
          <w:highlight w:val="none"/>
          <w:lang w:val="en-US" w:eastAsia="zh-CN"/>
        </w:rPr>
        <w:t>9月7日</w:t>
      </w:r>
      <w:r>
        <w:rPr>
          <w:rFonts w:hint="default" w:ascii="Times New Roman" w:hAnsi="Times New Roman" w:eastAsia="仿宋_GB2312" w:cs="Times New Roman"/>
          <w:b w:val="0"/>
          <w:bCs w:val="0"/>
          <w:sz w:val="32"/>
          <w:szCs w:val="32"/>
          <w:highlight w:val="none"/>
          <w:lang w:val="en-US" w:eastAsia="zh-CN"/>
        </w:rPr>
        <w:t>前发送至电子邮箱：chenxi1@caict.ac.cn，纸质版材料于2026年</w:t>
      </w:r>
      <w:r>
        <w:rPr>
          <w:rFonts w:hint="eastAsia" w:ascii="Times New Roman" w:hAnsi="Times New Roman" w:cs="Times New Roman"/>
          <w:b w:val="0"/>
          <w:bCs w:val="0"/>
          <w:sz w:val="32"/>
          <w:szCs w:val="32"/>
          <w:highlight w:val="none"/>
          <w:lang w:val="en-US" w:eastAsia="zh-CN"/>
        </w:rPr>
        <w:t>9</w:t>
      </w:r>
      <w:r>
        <w:rPr>
          <w:rFonts w:hint="default" w:ascii="Times New Roman" w:hAnsi="Times New Roman" w:eastAsia="仿宋_GB2312" w:cs="Times New Roman"/>
          <w:b w:val="0"/>
          <w:bCs w:val="0"/>
          <w:sz w:val="32"/>
          <w:szCs w:val="32"/>
          <w:highlight w:val="none"/>
          <w:lang w:val="en-US" w:eastAsia="zh-CN"/>
        </w:rPr>
        <w:t>月</w:t>
      </w:r>
      <w:r>
        <w:rPr>
          <w:rFonts w:hint="eastAsia" w:ascii="Times New Roman" w:hAnsi="Times New Roman" w:cs="Times New Roman"/>
          <w:b w:val="0"/>
          <w:bCs w:val="0"/>
          <w:sz w:val="32"/>
          <w:szCs w:val="32"/>
          <w:highlight w:val="none"/>
          <w:lang w:val="en-US" w:eastAsia="zh-CN"/>
        </w:rPr>
        <w:t>14</w:t>
      </w:r>
      <w:r>
        <w:rPr>
          <w:rFonts w:hint="default" w:ascii="Times New Roman" w:hAnsi="Times New Roman" w:eastAsia="仿宋_GB2312" w:cs="Times New Roman"/>
          <w:b w:val="0"/>
          <w:bCs w:val="0"/>
          <w:sz w:val="32"/>
          <w:szCs w:val="32"/>
          <w:highlight w:val="none"/>
          <w:lang w:val="en-US" w:eastAsia="zh-CN"/>
        </w:rPr>
        <w:t>日前寄送至中国信息通信研究院（北京市海淀区万寿路27号院8号楼），收件人：陈曦</w:t>
      </w:r>
      <w:r>
        <w:rPr>
          <w:rFonts w:hint="eastAsia" w:ascii="Times New Roman" w:hAnsi="Times New Roman" w:cs="Times New Roman"/>
          <w:b w:val="0"/>
          <w:bCs w:val="0"/>
          <w:sz w:val="32"/>
          <w:szCs w:val="32"/>
          <w:highlight w:val="none"/>
          <w:lang w:val="en-US" w:eastAsia="zh-CN"/>
        </w:rPr>
        <w:t>，17310937035</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3"/>
        <w:rPr>
          <w:rFonts w:hint="default" w:ascii="Times New Roman" w:hAnsi="Times New Roman" w:eastAsia="仿宋_GB2312" w:cs="Times New Roman"/>
          <w:b/>
          <w:bCs/>
          <w:sz w:val="32"/>
          <w:szCs w:val="32"/>
          <w:highlight w:val="none"/>
          <w:lang w:val="en-US" w:eastAsia="zh-CN"/>
        </w:rPr>
      </w:pPr>
      <w:r>
        <w:rPr>
          <w:rFonts w:hint="default" w:ascii="Times New Roman" w:hAnsi="Times New Roman" w:cs="Times New Roman"/>
          <w:b/>
          <w:bCs/>
          <w:sz w:val="32"/>
          <w:szCs w:val="32"/>
          <w:highlight w:val="none"/>
          <w:lang w:val="en-US" w:eastAsia="zh-CN"/>
        </w:rPr>
        <w:t>2. 推荐数量</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cs="Times New Roman"/>
          <w:sz w:val="32"/>
          <w:szCs w:val="32"/>
          <w:highlight w:val="none"/>
          <w:lang w:val="en-US" w:eastAsia="zh-CN"/>
        </w:rPr>
        <w:t>本</w:t>
      </w:r>
      <w:r>
        <w:rPr>
          <w:rFonts w:hint="default" w:ascii="Times New Roman" w:hAnsi="Times New Roman" w:eastAsia="仿宋_GB2312" w:cs="Times New Roman"/>
          <w:sz w:val="32"/>
          <w:szCs w:val="32"/>
          <w:highlight w:val="none"/>
          <w:lang w:val="en-US" w:eastAsia="zh-CN"/>
        </w:rPr>
        <w:t>专题下，每个地方工业和信息化主管部门推荐单位的推荐数量不多于20个，每个央企推荐单位的推荐数量不多于3个。</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2" w:firstLineChars="200"/>
        <w:jc w:val="both"/>
        <w:textAlignment w:val="auto"/>
        <w:outlineLvl w:val="2"/>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（三）联系方式</w:t>
      </w:r>
    </w:p>
    <w:p>
      <w:pPr>
        <w:ind w:firstLine="640"/>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工业和信息化部电子信息司</w:t>
      </w:r>
    </w:p>
    <w:p>
      <w:pPr>
        <w:ind w:firstLine="640"/>
        <w:rPr>
          <w:rFonts w:hint="default" w:ascii="Times New Roman" w:hAnsi="Times New Roman" w:cs="Times New Roman"/>
          <w:b w:val="0"/>
          <w:bCs w:val="0"/>
          <w:sz w:val="32"/>
          <w:szCs w:val="32"/>
          <w:highlight w:val="none"/>
          <w:lang w:eastAsia="zh-CN"/>
        </w:rPr>
      </w:pPr>
      <w:r>
        <w:rPr>
          <w:rFonts w:hint="default" w:ascii="Times New Roman" w:hAnsi="Times New Roman" w:eastAsia="仿宋_GB2312" w:cs="Times New Roman"/>
          <w:sz w:val="32"/>
          <w:szCs w:val="32"/>
          <w:highlight w:val="none"/>
          <w:lang w:val="en-US" w:eastAsia="zh-CN"/>
        </w:rPr>
        <w:t>张耿彬  010-68208283</w:t>
      </w:r>
    </w:p>
    <w:p>
      <w:pPr>
        <w:rPr>
          <w:rFonts w:ascii="Times New Roman" w:hAnsi="Times New Roman"/>
          <w:highlight w:val="none"/>
        </w:rPr>
      </w:pPr>
    </w:p>
    <w:sectPr>
      <w:headerReference r:id="rId11" w:type="default"/>
      <w:pgSz w:w="11906" w:h="16838"/>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path/>
          <v:fill on="f" focussize="0,0"/>
          <v:stroke on="f"/>
          <v:imagedata o:title=""/>
          <o:lock v:ext="edit" aspectratio="f"/>
          <v:textbox inset="0mm,0mm,0mm,0mm" style="mso-fit-shape-to-text:t;">
            <w:txbxContent>
              <w:p>
                <w:pPr>
                  <w:pStyle w:val="3"/>
                  <w:ind w:left="0" w:leftChars="0" w:right="0" w:righ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文本框 4" o:spid="_x0000_s4098"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Bmo4MrgEAAEsD&#10;AAAOAAAAAAAAAAEAIAAAAB4BAABkcnMvZTJvRG9jLnhtbFBLBQYAAAAABgAGAFkBAAA+BQAAAAA=&#10;">
          <v:path/>
          <v:fill on="f" focussize="0,0"/>
          <v:stroke on="f"/>
          <v:imagedata o:title=""/>
          <o:lock v:ext="edit" aspectratio="f"/>
          <v:textbox inset="0mm,0mm,0mm,0mm" style="mso-fit-shape-to-text:t;">
            <w:txbxContent>
              <w:p>
                <w:pPr>
                  <w:pStyle w:val="3"/>
                  <w:ind w:left="0" w:leftChars="0" w:right="0" w:righ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E23CCB"/>
    <w:multiLevelType w:val="singleLevel"/>
    <w:tmpl w:val="6FE23CCB"/>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71"/>
  <w:bordersDoNotSurroundHeader w:val="false"/>
  <w:bordersDoNotSurroundFooter w:val="false"/>
  <w:trackRevisions w:val="tru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0C92A71"/>
    <w:rsid w:val="018EB42D"/>
    <w:rsid w:val="04945E81"/>
    <w:rsid w:val="05460189"/>
    <w:rsid w:val="07F0237C"/>
    <w:rsid w:val="0B0072E3"/>
    <w:rsid w:val="0BC00F03"/>
    <w:rsid w:val="0C4A3260"/>
    <w:rsid w:val="0DEF07FE"/>
    <w:rsid w:val="124B0D69"/>
    <w:rsid w:val="1903037F"/>
    <w:rsid w:val="19AA02B2"/>
    <w:rsid w:val="1B3368C2"/>
    <w:rsid w:val="1DD060B1"/>
    <w:rsid w:val="1F585E44"/>
    <w:rsid w:val="1FD833A2"/>
    <w:rsid w:val="20C92A71"/>
    <w:rsid w:val="21BE2CFB"/>
    <w:rsid w:val="235A5AAC"/>
    <w:rsid w:val="23D77343"/>
    <w:rsid w:val="245972A6"/>
    <w:rsid w:val="25A20878"/>
    <w:rsid w:val="2A626E7E"/>
    <w:rsid w:val="2B221232"/>
    <w:rsid w:val="2BE947E0"/>
    <w:rsid w:val="2D9D59E2"/>
    <w:rsid w:val="2E19684D"/>
    <w:rsid w:val="2EBB0B15"/>
    <w:rsid w:val="323629ED"/>
    <w:rsid w:val="33E002C7"/>
    <w:rsid w:val="34031D2F"/>
    <w:rsid w:val="36C84C6C"/>
    <w:rsid w:val="36EE1A20"/>
    <w:rsid w:val="37F90C2E"/>
    <w:rsid w:val="387B3FB2"/>
    <w:rsid w:val="3BB93800"/>
    <w:rsid w:val="3BE7D02B"/>
    <w:rsid w:val="3CEBDD1F"/>
    <w:rsid w:val="3E825734"/>
    <w:rsid w:val="3E831CDC"/>
    <w:rsid w:val="3F62439B"/>
    <w:rsid w:val="3FFF1AAD"/>
    <w:rsid w:val="42C03B65"/>
    <w:rsid w:val="465647CA"/>
    <w:rsid w:val="475B6993"/>
    <w:rsid w:val="48BB6E3E"/>
    <w:rsid w:val="4A382FD2"/>
    <w:rsid w:val="4AC565F9"/>
    <w:rsid w:val="4C2061DD"/>
    <w:rsid w:val="4D31213A"/>
    <w:rsid w:val="4EFD4568"/>
    <w:rsid w:val="4F376E91"/>
    <w:rsid w:val="4F3F3BBB"/>
    <w:rsid w:val="533DE072"/>
    <w:rsid w:val="57166B5E"/>
    <w:rsid w:val="572B3972"/>
    <w:rsid w:val="57EDA244"/>
    <w:rsid w:val="57F04A08"/>
    <w:rsid w:val="598435F4"/>
    <w:rsid w:val="5BEDD6AF"/>
    <w:rsid w:val="5C566509"/>
    <w:rsid w:val="5D7FABA4"/>
    <w:rsid w:val="5FB74CD3"/>
    <w:rsid w:val="61EFBC7E"/>
    <w:rsid w:val="62FD108E"/>
    <w:rsid w:val="660325B5"/>
    <w:rsid w:val="66F7B57A"/>
    <w:rsid w:val="69730139"/>
    <w:rsid w:val="6AFEBA45"/>
    <w:rsid w:val="6B3FDE0F"/>
    <w:rsid w:val="6BFF382E"/>
    <w:rsid w:val="6F7D5C6F"/>
    <w:rsid w:val="6FFE6C0A"/>
    <w:rsid w:val="70AF1934"/>
    <w:rsid w:val="71821102"/>
    <w:rsid w:val="71A004F1"/>
    <w:rsid w:val="7353375D"/>
    <w:rsid w:val="75FF6B5C"/>
    <w:rsid w:val="76FFD797"/>
    <w:rsid w:val="77EF6BC5"/>
    <w:rsid w:val="78AF4EC5"/>
    <w:rsid w:val="79C23707"/>
    <w:rsid w:val="79FECF95"/>
    <w:rsid w:val="7BFF97F4"/>
    <w:rsid w:val="7BFF9FBD"/>
    <w:rsid w:val="7D3F340F"/>
    <w:rsid w:val="7E3FFA56"/>
    <w:rsid w:val="7E8BC77F"/>
    <w:rsid w:val="7EF6BE67"/>
    <w:rsid w:val="7FAF03BA"/>
    <w:rsid w:val="7FBC402D"/>
    <w:rsid w:val="7FCED3CC"/>
    <w:rsid w:val="7FDB520E"/>
    <w:rsid w:val="913FD742"/>
    <w:rsid w:val="9BF5ABE9"/>
    <w:rsid w:val="B96E15AF"/>
    <w:rsid w:val="BBBFC82C"/>
    <w:rsid w:val="BBD76982"/>
    <w:rsid w:val="BE8D487F"/>
    <w:rsid w:val="BEDFBD4D"/>
    <w:rsid w:val="CA97DA86"/>
    <w:rsid w:val="CBDBF4C3"/>
    <w:rsid w:val="CEEF1100"/>
    <w:rsid w:val="CFFEFAC7"/>
    <w:rsid w:val="DEDFC25A"/>
    <w:rsid w:val="DFEF0FA9"/>
    <w:rsid w:val="E26F3F35"/>
    <w:rsid w:val="E57C8330"/>
    <w:rsid w:val="EB3621CA"/>
    <w:rsid w:val="ECDF5179"/>
    <w:rsid w:val="EF39B31D"/>
    <w:rsid w:val="F0BF9102"/>
    <w:rsid w:val="F4573233"/>
    <w:rsid w:val="F5CEF400"/>
    <w:rsid w:val="F5EEDC9A"/>
    <w:rsid w:val="F68F4453"/>
    <w:rsid w:val="F6DB1869"/>
    <w:rsid w:val="F77F9432"/>
    <w:rsid w:val="F9A544B0"/>
    <w:rsid w:val="FACFF94B"/>
    <w:rsid w:val="FBDF9132"/>
    <w:rsid w:val="FBE3EBA7"/>
    <w:rsid w:val="FBE60F71"/>
    <w:rsid w:val="FBFD7F59"/>
    <w:rsid w:val="FCDF4B14"/>
    <w:rsid w:val="FDADCD8D"/>
    <w:rsid w:val="FDEDD8BD"/>
    <w:rsid w:val="FEAF369B"/>
    <w:rsid w:val="FF6FE61B"/>
    <w:rsid w:val="FFDED67B"/>
    <w:rsid w:val="FFFEDF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420" w:firstLineChars="200"/>
      <w:jc w:val="both"/>
    </w:pPr>
    <w:rPr>
      <w:rFonts w:ascii="Calibri" w:hAnsi="Calibri" w:eastAsia="仿宋_GB2312" w:cs="Times New Roman"/>
      <w:kern w:val="2"/>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5.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12501</Words>
  <Characters>13411</Characters>
  <Lines>1</Lines>
  <Paragraphs>1</Paragraphs>
  <TotalTime>4</TotalTime>
  <ScaleCrop>false</ScaleCrop>
  <LinksUpToDate>false</LinksUpToDate>
  <CharactersWithSpaces>13430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2026-06-12T11:13:00Z</dcterms:created>
  <dc:creator>醉月</dc:creator>
  <cp:lastModifiedBy>kylin</cp:lastModifiedBy>
  <dcterms:modified xsi:type="dcterms:W3CDTF">2026-07-28T20:17:03Z</dcterms:modified>
  <dc:title>附件3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C0E2A56220A94B95BF5D090A3D219ECD_11</vt:lpwstr>
  </property>
  <property fmtid="{D5CDD505-2E9C-101B-9397-08002B2CF9AE}" pid="4" name="KSOTemplateDocerSaveRecord">
    <vt:lpwstr>eyJoZGlkIjoiZDc4NWQxZGNhYzA3OWY4MmU0NDQ2NWMyOWZkNDQ2MjkiLCJ1c2VySWQiOiIxMjA3MTYxMTU5In0=</vt:lpwstr>
  </property>
</Properties>
</file>