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sz w:val="44"/>
          <w:szCs w:val="44"/>
          <w:highlight w:val="none"/>
          <w:u w:val="none"/>
          <w:lang w:val="en-US" w:eastAsia="zh-CN"/>
        </w:rPr>
      </w:pPr>
      <w:r>
        <w:rPr>
          <w:rFonts w:hint="eastAsia" w:ascii="方正小标宋简体" w:hAnsi="方正小标宋简体" w:eastAsia="方正小标宋简体" w:cs="方正小标宋简体"/>
          <w:b w:val="0"/>
          <w:bCs w:val="0"/>
          <w:color w:val="auto"/>
          <w:sz w:val="44"/>
          <w:szCs w:val="44"/>
          <w:highlight w:val="none"/>
          <w:u w:val="none"/>
          <w:lang w:val="en-US" w:eastAsia="zh-CN"/>
        </w:rPr>
        <w:t>沈阳市2024年促进民营经济高质量发展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sz w:val="44"/>
          <w:szCs w:val="44"/>
          <w:highlight w:val="none"/>
          <w:u w:val="none"/>
          <w:lang w:val="en-US" w:eastAsia="zh-CN"/>
        </w:rPr>
      </w:pPr>
      <w:r>
        <w:rPr>
          <w:rFonts w:hint="eastAsia" w:ascii="方正小标宋简体" w:hAnsi="方正小标宋简体" w:eastAsia="方正小标宋简体" w:cs="方正小标宋简体"/>
          <w:b w:val="0"/>
          <w:bCs w:val="0"/>
          <w:color w:val="auto"/>
          <w:sz w:val="44"/>
          <w:szCs w:val="44"/>
          <w:highlight w:val="none"/>
          <w:u w:val="none"/>
          <w:lang w:val="en-US" w:eastAsia="zh-CN"/>
        </w:rPr>
        <w:t>行动方案</w:t>
      </w:r>
    </w:p>
    <w:p>
      <w:pPr>
        <w:pStyle w:val="2"/>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left="0" w:leftChars="0" w:right="0" w:rightChars="0" w:firstLine="0" w:firstLineChars="0"/>
        <w:jc w:val="center"/>
        <w:textAlignment w:val="auto"/>
        <w:rPr>
          <w:rFonts w:hint="eastAsia" w:ascii="方正楷体_GBK" w:hAnsi="方正楷体_GBK" w:eastAsia="方正楷体_GBK" w:cs="方正楷体_GBK"/>
          <w:color w:val="auto"/>
          <w:sz w:val="32"/>
          <w:szCs w:val="32"/>
          <w:highlight w:val="none"/>
          <w:lang w:val="en-US" w:eastAsia="zh-CN"/>
        </w:rPr>
      </w:pPr>
      <w:r>
        <w:rPr>
          <w:rFonts w:hint="eastAsia" w:ascii="方正楷体_GBK" w:hAnsi="方正楷体_GBK" w:eastAsia="方正楷体_GBK" w:cs="方正楷体_GBK"/>
          <w:b w:val="0"/>
          <w:bCs w:val="0"/>
          <w:color w:val="auto"/>
          <w:sz w:val="32"/>
          <w:szCs w:val="32"/>
          <w:highlight w:val="none"/>
          <w:u w:val="none"/>
          <w:lang w:val="en-US" w:eastAsia="zh-CN"/>
        </w:rPr>
        <w:t>（征求意见稿）</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CESI仿宋-GB2312" w:hAnsi="CESI仿宋-GB2312" w:eastAsia="CESI仿宋-GB2312" w:cs="CESI仿宋-GB2312"/>
          <w:color w:val="auto"/>
          <w:sz w:val="32"/>
          <w:szCs w:val="32"/>
          <w:highlight w:val="none"/>
          <w:u w:val="none"/>
          <w:lang w:val="en-US" w:eastAsia="zh-CN"/>
        </w:rPr>
      </w:pPr>
      <w:r>
        <w:rPr>
          <w:rFonts w:hint="eastAsia" w:ascii="CESI仿宋-GB2312" w:hAnsi="CESI仿宋-GB2312" w:eastAsia="CESI仿宋-GB2312" w:cs="CESI仿宋-GB2312"/>
          <w:color w:val="auto"/>
          <w:sz w:val="32"/>
          <w:szCs w:val="32"/>
          <w:highlight w:val="none"/>
          <w:lang w:eastAsia="zh-CN"/>
        </w:rPr>
        <w:t>为全面贯彻党的二十大关于“促进民营经济发展壮大”重大战略部署，深入贯彻习近平总书记在新时代推动东北全面振兴座谈会上的重要讲话精神，促进民营经济健康发展、高质量发展，制定本行动计划。</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一、总体要求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color w:val="auto"/>
          <w:sz w:val="32"/>
          <w:szCs w:val="32"/>
          <w:highlight w:val="none"/>
          <w:lang w:eastAsia="zh-CN"/>
        </w:rPr>
      </w:pPr>
      <w:r>
        <w:rPr>
          <w:rFonts w:hint="eastAsia" w:ascii="楷体" w:hAnsi="楷体" w:eastAsia="楷体" w:cs="楷体"/>
          <w:b w:val="0"/>
          <w:bCs w:val="0"/>
          <w:color w:val="auto"/>
          <w:sz w:val="32"/>
          <w:szCs w:val="32"/>
          <w:highlight w:val="none"/>
          <w:lang w:eastAsia="zh-CN"/>
        </w:rPr>
        <w:t>（一）指导思想。</w:t>
      </w:r>
      <w:r>
        <w:rPr>
          <w:rFonts w:hint="eastAsia" w:ascii="CESI仿宋-GB2312" w:hAnsi="CESI仿宋-GB2312" w:eastAsia="CESI仿宋-GB2312" w:cs="CESI仿宋-GB2312"/>
          <w:color w:val="auto"/>
          <w:sz w:val="32"/>
          <w:szCs w:val="32"/>
          <w:highlight w:val="none"/>
          <w:lang w:val="en-US" w:eastAsia="zh-CN"/>
        </w:rPr>
        <w:t>以习近平新时代中国特色社会主义思想为指导，全面贯彻落实</w:t>
      </w:r>
      <w:r>
        <w:rPr>
          <w:rFonts w:hint="eastAsia" w:ascii="CESI仿宋-GB2312" w:hAnsi="CESI仿宋-GB2312" w:eastAsia="CESI仿宋-GB2312" w:cs="CESI仿宋-GB2312"/>
          <w:color w:val="auto"/>
          <w:sz w:val="32"/>
          <w:szCs w:val="32"/>
          <w:highlight w:val="none"/>
          <w:lang w:eastAsia="zh-CN"/>
        </w:rPr>
        <w:t>党的二十大精神，深入贯彻落实习近平总书记关于东北、辽宁振兴发展的重要讲话和指示批示精神</w:t>
      </w:r>
      <w:r>
        <w:rPr>
          <w:rFonts w:hint="eastAsia" w:ascii="CESI仿宋-GB2312" w:hAnsi="CESI仿宋-GB2312" w:eastAsia="CESI仿宋-GB2312" w:cs="CESI仿宋-GB2312"/>
          <w:color w:val="auto"/>
          <w:sz w:val="32"/>
          <w:szCs w:val="32"/>
          <w:highlight w:val="none"/>
          <w:lang w:val="en-US" w:eastAsia="zh-CN"/>
        </w:rPr>
        <w:t>，全面落实《中共中央 国务院关于促进民营经济发展壮大的意见》及系列政策措施，持续</w:t>
      </w:r>
      <w:r>
        <w:rPr>
          <w:rFonts w:hint="eastAsia" w:ascii="CESI仿宋-GB2312" w:hAnsi="CESI仿宋-GB2312" w:eastAsia="CESI仿宋-GB2312" w:cs="CESI仿宋-GB2312"/>
          <w:color w:val="auto"/>
          <w:sz w:val="32"/>
          <w:szCs w:val="32"/>
          <w:highlight w:val="none"/>
          <w:lang w:eastAsia="zh-CN"/>
        </w:rPr>
        <w:t>优化民营经济发展环境，</w:t>
      </w:r>
      <w:r>
        <w:rPr>
          <w:rFonts w:hint="eastAsia" w:ascii="CESI仿宋-GB2312" w:hAnsi="CESI仿宋-GB2312" w:eastAsia="CESI仿宋-GB2312" w:cs="CESI仿宋-GB2312"/>
          <w:color w:val="auto"/>
          <w:sz w:val="32"/>
          <w:szCs w:val="32"/>
          <w:highlight w:val="none"/>
          <w:lang w:val="en-US" w:eastAsia="zh-CN"/>
        </w:rPr>
        <w:t>推动民营企业保存量、扩增量、提质量，加快促进民营经济高质量发展，为新时代沈阳</w:t>
      </w:r>
      <w:r>
        <w:rPr>
          <w:rFonts w:hint="eastAsia" w:ascii="CESI仿宋-GB2312" w:hAnsi="CESI仿宋-GB2312" w:eastAsia="CESI仿宋-GB2312" w:cs="CESI仿宋-GB2312"/>
          <w:color w:val="auto"/>
          <w:sz w:val="32"/>
          <w:szCs w:val="32"/>
          <w:highlight w:val="none"/>
          <w:lang w:eastAsia="zh-CN"/>
        </w:rPr>
        <w:t>全面振兴实现新突破注入强劲动能</w:t>
      </w:r>
      <w:r>
        <w:rPr>
          <w:rFonts w:hint="eastAsia" w:ascii="CESI仿宋-GB2312" w:hAnsi="CESI仿宋-GB2312" w:eastAsia="CESI仿宋-GB2312" w:cs="CESI仿宋-GB2312"/>
          <w:color w:val="auto"/>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CESI黑体-GB2312" w:hAnsi="CESI黑体-GB2312" w:eastAsia="CESI黑体-GB2312" w:cs="CESI黑体-GB2312"/>
          <w:color w:val="auto"/>
          <w:sz w:val="32"/>
          <w:szCs w:val="32"/>
          <w:highlight w:val="none"/>
          <w:lang w:val="en-US" w:eastAsia="zh-CN"/>
        </w:rPr>
      </w:pPr>
      <w:r>
        <w:rPr>
          <w:rFonts w:hint="eastAsia" w:ascii="楷体" w:hAnsi="楷体" w:eastAsia="楷体" w:cs="楷体"/>
          <w:b w:val="0"/>
          <w:bCs w:val="0"/>
          <w:color w:val="auto"/>
          <w:sz w:val="32"/>
          <w:szCs w:val="32"/>
          <w:highlight w:val="none"/>
          <w:lang w:eastAsia="zh-CN"/>
        </w:rPr>
        <w:t>（二）总体目标。</w:t>
      </w:r>
      <w:r>
        <w:rPr>
          <w:rFonts w:hint="eastAsia" w:ascii="CESI仿宋-GB2312" w:hAnsi="CESI仿宋-GB2312" w:eastAsia="CESI仿宋-GB2312" w:cs="CESI仿宋-GB2312"/>
          <w:color w:val="auto"/>
          <w:sz w:val="32"/>
          <w:szCs w:val="32"/>
          <w:highlight w:val="none"/>
          <w:lang w:val="en-US" w:eastAsia="zh-CN"/>
        </w:rPr>
        <w:t>2024年，全市促进民营经济高质量发展的体制机制更加健全，政策体系更加完善，发展基础更加夯实，民营经济对税收、技术创新、吸纳就业和企业数量增加的贡献持续显现，新兴产业不断壮大，产业层次逐步升级，结构更趋合理，民营经济发展水平和质量明显提升。</w:t>
      </w:r>
      <w:r>
        <w:rPr>
          <w:rFonts w:hint="eastAsia" w:ascii="CESI黑体-GB2312" w:hAnsi="CESI黑体-GB2312" w:eastAsia="CESI黑体-GB2312" w:cs="CESI黑体-GB2312"/>
          <w:color w:val="auto"/>
          <w:sz w:val="32"/>
          <w:szCs w:val="32"/>
          <w:highlight w:val="none"/>
          <w:lang w:val="en-US" w:eastAsia="zh-CN"/>
        </w:rPr>
        <w:t>力争民营经济增加值提高6个百分点以上，占全市GDP比重达到50%左右；民间投资占全市固定资产投资比重大幅增加，达到50%左右。</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二、重点任务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val="0"/>
          <w:bCs w:val="0"/>
          <w:color w:val="auto"/>
          <w:sz w:val="32"/>
          <w:szCs w:val="32"/>
          <w:highlight w:val="none"/>
          <w:lang w:eastAsia="zh-CN"/>
        </w:rPr>
      </w:pPr>
      <w:r>
        <w:rPr>
          <w:rFonts w:hint="eastAsia" w:ascii="楷体" w:hAnsi="楷体" w:eastAsia="楷体" w:cs="楷体"/>
          <w:b w:val="0"/>
          <w:bCs w:val="0"/>
          <w:color w:val="auto"/>
          <w:sz w:val="32"/>
          <w:szCs w:val="32"/>
          <w:highlight w:val="none"/>
          <w:lang w:eastAsia="zh-CN"/>
        </w:rPr>
        <w:t>（一）开展经营主体培育专项行动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color w:val="auto"/>
          <w:sz w:val="32"/>
          <w:szCs w:val="32"/>
          <w:highlight w:val="none"/>
          <w:lang w:val="en-US" w:eastAsia="zh-CN"/>
        </w:rPr>
      </w:pPr>
      <w:r>
        <w:rPr>
          <w:rFonts w:hint="eastAsia" w:ascii="CESI仿宋-GB2312" w:hAnsi="CESI仿宋-GB2312" w:eastAsia="CESI仿宋-GB2312" w:cs="CESI仿宋-GB2312"/>
          <w:b/>
          <w:bCs/>
          <w:color w:val="auto"/>
          <w:sz w:val="32"/>
          <w:szCs w:val="32"/>
          <w:highlight w:val="none"/>
          <w:u w:val="none"/>
          <w:lang w:val="en-US" w:eastAsia="zh-CN"/>
        </w:rPr>
        <w:t>1.推进经营主体培育计划。</w:t>
      </w:r>
      <w:r>
        <w:rPr>
          <w:rFonts w:hint="eastAsia" w:ascii="CESI仿宋-GB2312" w:hAnsi="CESI仿宋-GB2312" w:eastAsia="CESI仿宋-GB2312" w:cs="CESI仿宋-GB2312"/>
          <w:b w:val="0"/>
          <w:bCs w:val="0"/>
          <w:color w:val="auto"/>
          <w:sz w:val="32"/>
          <w:szCs w:val="32"/>
          <w:highlight w:val="none"/>
          <w:u w:val="none" w:color="auto"/>
          <w:lang w:val="en-US" w:eastAsia="zh-CN"/>
        </w:rPr>
        <w:t>以“提质量、优结构”为目标，推进培育壮大经营主体行动。推行经营主体开办“掌上办”，提供设立、变更、注销等全流程手机端办理服务。建立完善个体工商户服务体系，培育“名特优新”个体工商户。围绕国际国内两个方向，采取“请进来、走出去”相结合的方式，进一步加大企业引进力度，力争全年落地亿元以上项目1100个左右。</w:t>
      </w:r>
      <w:r>
        <w:rPr>
          <w:rFonts w:hint="eastAsia" w:ascii="方正黑体_GBK" w:hAnsi="方正黑体_GBK" w:eastAsia="方正黑体_GBK" w:cs="方正黑体_GBK"/>
          <w:color w:val="auto"/>
          <w:sz w:val="32"/>
          <w:szCs w:val="32"/>
          <w:highlight w:val="none"/>
          <w:lang w:val="en-US" w:eastAsia="zh-CN"/>
        </w:rPr>
        <w:t>（责任单位：市市场监管局、市商务局）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color w:val="auto"/>
          <w:sz w:val="32"/>
          <w:szCs w:val="32"/>
          <w:highlight w:val="none"/>
          <w:lang w:val="en-US" w:eastAsia="zh-CN"/>
        </w:rPr>
      </w:pPr>
      <w:r>
        <w:rPr>
          <w:rFonts w:hint="eastAsia" w:ascii="CESI仿宋-GB2312" w:hAnsi="CESI仿宋-GB2312" w:eastAsia="CESI仿宋-GB2312" w:cs="CESI仿宋-GB2312"/>
          <w:b/>
          <w:bCs/>
          <w:color w:val="auto"/>
          <w:sz w:val="32"/>
          <w:szCs w:val="32"/>
          <w:highlight w:val="none"/>
          <w:u w:val="none"/>
          <w:lang w:val="en-US" w:eastAsia="zh-CN"/>
        </w:rPr>
        <w:t>2.强化载体建设。</w:t>
      </w:r>
      <w:r>
        <w:rPr>
          <w:rFonts w:hint="eastAsia" w:ascii="CESI仿宋-GB2312" w:hAnsi="CESI仿宋-GB2312" w:eastAsia="CESI仿宋-GB2312" w:cs="CESI仿宋-GB2312"/>
          <w:b w:val="0"/>
          <w:bCs w:val="0"/>
          <w:color w:val="auto"/>
          <w:sz w:val="32"/>
          <w:szCs w:val="32"/>
          <w:highlight w:val="none"/>
          <w:u w:val="none" w:color="auto"/>
          <w:lang w:val="en-US" w:eastAsia="zh-CN"/>
        </w:rPr>
        <w:t>鼓励中小微企业创新创业示范基地房屋租金和物业费减免，促进中小企业发展。落实</w:t>
      </w:r>
      <w:bookmarkStart w:id="0" w:name="_GoBack"/>
      <w:bookmarkEnd w:id="0"/>
      <w:r>
        <w:rPr>
          <w:rFonts w:hint="eastAsia" w:ascii="CESI仿宋-GB2312" w:hAnsi="CESI仿宋-GB2312" w:eastAsia="CESI仿宋-GB2312" w:cs="CESI仿宋-GB2312"/>
          <w:b w:val="0"/>
          <w:bCs w:val="0"/>
          <w:color w:val="auto"/>
          <w:sz w:val="32"/>
          <w:szCs w:val="32"/>
          <w:highlight w:val="none"/>
          <w:u w:val="none" w:color="auto"/>
          <w:lang w:val="en-US" w:eastAsia="zh-CN"/>
        </w:rPr>
        <w:t>《沈阳市创业孵化基地相关工作实施细则》，引导创业孵化载体提质发展。加强双创载体建设，力争全市各级各类双创载体数量达到280家。遴选沈阳市优秀就业创业指导站并给予相应建站补贴。</w:t>
      </w:r>
      <w:r>
        <w:rPr>
          <w:rFonts w:hint="eastAsia" w:ascii="方正黑体_GBK" w:hAnsi="方正黑体_GBK" w:eastAsia="方正黑体_GBK" w:cs="方正黑体_GBK"/>
          <w:color w:val="auto"/>
          <w:sz w:val="32"/>
          <w:szCs w:val="32"/>
          <w:highlight w:val="none"/>
          <w:lang w:val="en-US" w:eastAsia="zh-CN"/>
        </w:rPr>
        <w:t>（责任单位：市人力资源社会保障局、市工业和信息化局、市科技局、市教育局）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CESI仿宋-GB2312" w:hAnsi="CESI仿宋-GB2312" w:eastAsia="CESI仿宋-GB2312" w:cs="CESI仿宋-GB2312"/>
          <w:b/>
          <w:bCs/>
          <w:color w:val="auto"/>
          <w:sz w:val="32"/>
          <w:szCs w:val="32"/>
          <w:highlight w:val="none"/>
          <w:u w:val="none"/>
          <w:lang w:val="en-US" w:eastAsia="zh-CN"/>
        </w:rPr>
        <w:t>3.加强创新创业服务。</w:t>
      </w:r>
      <w:r>
        <w:rPr>
          <w:rFonts w:hint="eastAsia" w:ascii="仿宋_GB2312" w:hAnsi="仿宋_GB2312" w:eastAsia="仿宋_GB2312" w:cs="仿宋_GB2312"/>
          <w:color w:val="auto"/>
          <w:sz w:val="32"/>
          <w:szCs w:val="32"/>
          <w:highlight w:val="none"/>
          <w:lang w:val="en-US" w:eastAsia="zh-CN"/>
        </w:rPr>
        <w:t>办</w:t>
      </w:r>
      <w:r>
        <w:rPr>
          <w:rFonts w:hint="eastAsia" w:ascii="CESI仿宋-GB2312" w:hAnsi="CESI仿宋-GB2312" w:eastAsia="CESI仿宋-GB2312" w:cs="CESI仿宋-GB2312"/>
          <w:b w:val="0"/>
          <w:bCs w:val="0"/>
          <w:color w:val="auto"/>
          <w:sz w:val="32"/>
          <w:szCs w:val="32"/>
          <w:highlight w:val="none"/>
          <w:u w:val="none" w:color="auto"/>
          <w:lang w:val="en-US" w:eastAsia="zh-CN"/>
        </w:rPr>
        <w:t>好2024中国创新创业大赛辽宁赛区沈阳地方赛活动，择优推荐入围辽宁赛区，展现我市创新创业新成效，进一步激发创新活力、创业动力。配合办好第九届“创客中国”辽宁省创新创业大赛，扩大赛事影响力，发掘和培育一批优秀项目和优秀团队，催生新产品、新技术、新模式和新业态，推动中小企业加快转型升级。</w:t>
      </w:r>
      <w:r>
        <w:rPr>
          <w:rFonts w:hint="eastAsia" w:ascii="方正黑体_GBK" w:hAnsi="方正黑体_GBK" w:eastAsia="方正黑体_GBK" w:cs="方正黑体_GBK"/>
          <w:color w:val="auto"/>
          <w:sz w:val="32"/>
          <w:szCs w:val="32"/>
          <w:highlight w:val="none"/>
          <w:lang w:val="en-US" w:eastAsia="zh-CN"/>
        </w:rPr>
        <w:t>（责任单位：市科技局、市工业和信息化局）</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color w:val="auto"/>
          <w:sz w:val="32"/>
          <w:szCs w:val="32"/>
          <w:highlight w:val="none"/>
          <w:lang w:val="en-US" w:eastAsia="zh-CN"/>
        </w:rPr>
      </w:pPr>
      <w:r>
        <w:rPr>
          <w:rFonts w:hint="eastAsia" w:ascii="CESI仿宋-GB2312" w:hAnsi="CESI仿宋-GB2312" w:eastAsia="CESI仿宋-GB2312" w:cs="CESI仿宋-GB2312"/>
          <w:b/>
          <w:bCs/>
          <w:color w:val="auto"/>
          <w:sz w:val="32"/>
          <w:szCs w:val="32"/>
          <w:highlight w:val="none"/>
          <w:u w:val="none"/>
          <w:lang w:val="en-US" w:eastAsia="zh-CN"/>
        </w:rPr>
        <w:t>4.支持自主创业。</w:t>
      </w:r>
      <w:r>
        <w:rPr>
          <w:rFonts w:hint="eastAsia" w:ascii="CESI仿宋-GB2312" w:hAnsi="CESI仿宋-GB2312" w:eastAsia="CESI仿宋-GB2312" w:cs="CESI仿宋-GB2312"/>
          <w:b w:val="0"/>
          <w:bCs w:val="0"/>
          <w:color w:val="auto"/>
          <w:sz w:val="32"/>
          <w:szCs w:val="32"/>
          <w:highlight w:val="none"/>
          <w:u w:val="none" w:color="auto"/>
          <w:lang w:val="en-US" w:eastAsia="zh-CN"/>
        </w:rPr>
        <w:t>落实创业担保贷款相关政策，加大对自主创业群体的支持力度，全年发放创业担保贷款5亿元。利用校园广播、学校网站等媒体手段，广泛宣传《沈阳市支持大学生创新创业实施方案》各项内容，鼓励高校毕业生打破传统观念束缚，积极自主创业。</w:t>
      </w:r>
      <w:r>
        <w:rPr>
          <w:rFonts w:hint="eastAsia" w:ascii="方正黑体_GBK" w:hAnsi="方正黑体_GBK" w:eastAsia="方正黑体_GBK" w:cs="方正黑体_GBK"/>
          <w:color w:val="auto"/>
          <w:sz w:val="32"/>
          <w:szCs w:val="32"/>
          <w:highlight w:val="none"/>
          <w:lang w:val="en-US" w:eastAsia="zh-CN"/>
        </w:rPr>
        <w:t>（责任单位：市人力资源社会保障局、市教育局）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color w:val="auto"/>
          <w:sz w:val="32"/>
          <w:szCs w:val="32"/>
          <w:highlight w:val="none"/>
          <w:lang w:val="en-US" w:eastAsia="zh-CN"/>
        </w:rPr>
      </w:pPr>
      <w:r>
        <w:rPr>
          <w:rFonts w:hint="eastAsia" w:ascii="CESI仿宋-GB2312" w:hAnsi="CESI仿宋-GB2312" w:eastAsia="CESI仿宋-GB2312" w:cs="CESI仿宋-GB2312"/>
          <w:b/>
          <w:bCs/>
          <w:color w:val="auto"/>
          <w:sz w:val="32"/>
          <w:szCs w:val="32"/>
          <w:highlight w:val="none"/>
          <w:u w:val="none"/>
          <w:lang w:val="en-US" w:eastAsia="zh-CN"/>
        </w:rPr>
        <w:t>5.加快培育优质中小企业。</w:t>
      </w:r>
      <w:r>
        <w:rPr>
          <w:rFonts w:hint="eastAsia" w:ascii="仿宋_GB2312" w:hAnsi="仿宋_GB2312" w:eastAsia="仿宋_GB2312" w:cs="仿宋_GB2312"/>
          <w:color w:val="auto"/>
          <w:sz w:val="32"/>
          <w:szCs w:val="32"/>
          <w:highlight w:val="none"/>
          <w:lang w:val="en-US" w:eastAsia="zh-CN"/>
        </w:rPr>
        <w:t>健全梯度培育体系，加强分类指导，促进企业做精做强做大。</w:t>
      </w:r>
      <w:r>
        <w:rPr>
          <w:rFonts w:hint="eastAsia" w:ascii="CESI仿宋-GB2312" w:hAnsi="CESI仿宋-GB2312" w:eastAsia="CESI仿宋-GB2312" w:cs="CESI仿宋-GB2312"/>
          <w:b w:val="0"/>
          <w:bCs w:val="0"/>
          <w:color w:val="auto"/>
          <w:sz w:val="32"/>
          <w:szCs w:val="32"/>
          <w:highlight w:val="none"/>
          <w:u w:val="none" w:color="auto"/>
          <w:lang w:val="en-US" w:eastAsia="zh-CN"/>
        </w:rPr>
        <w:t>筛选市单项冠军潜在企业，形成企业培育库，“一企一策”指导企业自我评估；遴选部分国家单项冠军企业编撰企业发展案例，组织政策、案例宣传。力争培育“专精特新”中小企业100户以上、新增单项冠军企业10户以上。</w:t>
      </w:r>
      <w:r>
        <w:rPr>
          <w:rFonts w:hint="eastAsia" w:ascii="方正黑体_GBK" w:hAnsi="方正黑体_GBK" w:eastAsia="方正黑体_GBK" w:cs="方正黑体_GBK"/>
          <w:color w:val="auto"/>
          <w:sz w:val="32"/>
          <w:szCs w:val="32"/>
          <w:highlight w:val="none"/>
          <w:lang w:val="en-US" w:eastAsia="zh-CN"/>
        </w:rPr>
        <w:t>（责任单位：市工业和信息化局）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val="0"/>
          <w:bCs w:val="0"/>
          <w:color w:val="auto"/>
          <w:sz w:val="32"/>
          <w:szCs w:val="32"/>
          <w:highlight w:val="none"/>
          <w:lang w:eastAsia="zh-CN"/>
        </w:rPr>
      </w:pPr>
      <w:r>
        <w:rPr>
          <w:rFonts w:hint="eastAsia" w:ascii="楷体" w:hAnsi="楷体" w:eastAsia="楷体" w:cs="楷体"/>
          <w:b w:val="0"/>
          <w:bCs w:val="0"/>
          <w:color w:val="auto"/>
          <w:sz w:val="32"/>
          <w:szCs w:val="32"/>
          <w:highlight w:val="none"/>
          <w:lang w:eastAsia="zh-CN"/>
        </w:rPr>
        <w:t>（二）开展产业水平提升专项行动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color w:val="auto"/>
          <w:sz w:val="32"/>
          <w:szCs w:val="32"/>
          <w:highlight w:val="none"/>
          <w:lang w:val="en-US" w:eastAsia="zh-CN"/>
        </w:rPr>
      </w:pPr>
      <w:r>
        <w:rPr>
          <w:rFonts w:hint="eastAsia" w:ascii="CESI仿宋-GB2312" w:hAnsi="CESI仿宋-GB2312" w:eastAsia="CESI仿宋-GB2312" w:cs="CESI仿宋-GB2312"/>
          <w:b/>
          <w:bCs/>
          <w:color w:val="auto"/>
          <w:sz w:val="32"/>
          <w:szCs w:val="32"/>
          <w:highlight w:val="none"/>
          <w:u w:val="none"/>
          <w:lang w:val="en-US" w:eastAsia="zh-CN"/>
        </w:rPr>
        <w:t>6.鼓励民营企业参与乡村振兴。</w:t>
      </w:r>
      <w:r>
        <w:rPr>
          <w:rFonts w:hint="eastAsia" w:ascii="CESI仿宋-GB2312" w:hAnsi="CESI仿宋-GB2312" w:eastAsia="CESI仿宋-GB2312" w:cs="CESI仿宋-GB2312"/>
          <w:b w:val="0"/>
          <w:bCs w:val="0"/>
          <w:color w:val="auto"/>
          <w:sz w:val="32"/>
          <w:szCs w:val="32"/>
          <w:highlight w:val="none"/>
          <w:u w:val="none" w:color="auto"/>
          <w:lang w:val="en-US" w:eastAsia="zh-CN"/>
        </w:rPr>
        <w:t>鼓励民营企业根据相关地区农业资源优势，建立优质原料基地，布局加工产能，构建全产业链条。培育市级及以上农业产业化重点龙头企业不少于30家；培育市级美丽休闲乡村5-8家，争创中国美丽休闲乡村；发展稻米产业链重点项目不少于10个。大力发展数字农业，创建数字农业应用场景不少于9个，争创省级智慧农业应用基地。</w:t>
      </w:r>
      <w:r>
        <w:rPr>
          <w:rFonts w:hint="eastAsia" w:ascii="方正黑体_GBK" w:hAnsi="方正黑体_GBK" w:eastAsia="方正黑体_GBK" w:cs="方正黑体_GBK"/>
          <w:color w:val="auto"/>
          <w:sz w:val="32"/>
          <w:szCs w:val="32"/>
          <w:highlight w:val="none"/>
          <w:lang w:val="en-US" w:eastAsia="zh-CN"/>
        </w:rPr>
        <w:t>〔责任单位：市农业农村局，相关区县（市）政府〕</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color w:val="auto"/>
          <w:sz w:val="32"/>
          <w:szCs w:val="32"/>
          <w:highlight w:val="none"/>
          <w:lang w:val="en-US" w:eastAsia="zh-CN"/>
        </w:rPr>
      </w:pPr>
      <w:r>
        <w:rPr>
          <w:rFonts w:hint="eastAsia" w:ascii="CESI仿宋-GB2312" w:hAnsi="CESI仿宋-GB2312" w:eastAsia="CESI仿宋-GB2312" w:cs="CESI仿宋-GB2312"/>
          <w:b/>
          <w:bCs/>
          <w:color w:val="auto"/>
          <w:sz w:val="32"/>
          <w:szCs w:val="32"/>
          <w:highlight w:val="none"/>
          <w:u w:val="none"/>
          <w:lang w:val="en-US" w:eastAsia="zh-CN"/>
        </w:rPr>
        <w:t>7.引导制造业民营企业向高端化转型升级。</w:t>
      </w:r>
      <w:r>
        <w:rPr>
          <w:rFonts w:hint="eastAsia" w:ascii="CESI仿宋-GB2312" w:hAnsi="CESI仿宋-GB2312" w:eastAsia="CESI仿宋-GB2312" w:cs="CESI仿宋-GB2312"/>
          <w:b w:val="0"/>
          <w:bCs w:val="0"/>
          <w:color w:val="auto"/>
          <w:sz w:val="32"/>
          <w:szCs w:val="32"/>
          <w:highlight w:val="none"/>
          <w:u w:val="none"/>
          <w:lang w:val="en-US" w:eastAsia="zh-CN"/>
        </w:rPr>
        <w:t>推进重大技术装备攻关，培育首台（套）重大技术装备产品，支持重大技术装备首次研制应用，攻克工业母机、高性能机器人等领域“卡脖子”问题。力争推进60项以上重大技术装备攻关，新增30个以上省首台（套）重大技术装备产品，支持15个以上重大技术装备首次研制应用。</w:t>
      </w:r>
      <w:r>
        <w:rPr>
          <w:rFonts w:hint="eastAsia" w:ascii="方正黑体_GBK" w:hAnsi="方正黑体_GBK" w:eastAsia="方正黑体_GBK" w:cs="方正黑体_GBK"/>
          <w:color w:val="auto"/>
          <w:sz w:val="32"/>
          <w:szCs w:val="32"/>
          <w:highlight w:val="none"/>
          <w:lang w:val="en-US" w:eastAsia="zh-CN"/>
        </w:rPr>
        <w:t>（责任单位：市工业和信息化局）</w:t>
      </w:r>
    </w:p>
    <w:p>
      <w:pPr>
        <w:pStyle w:val="3"/>
        <w:keepNext w:val="0"/>
        <w:keepLines w:val="0"/>
        <w:pageBreakBefore w:val="0"/>
        <w:kinsoku/>
        <w:wordWrap/>
        <w:overflowPunct/>
        <w:topLinePunct w:val="0"/>
        <w:autoSpaceDE/>
        <w:autoSpaceDN/>
        <w:bidi w:val="0"/>
        <w:adjustRightInd/>
        <w:snapToGrid/>
        <w:spacing w:line="600" w:lineRule="exact"/>
        <w:ind w:left="0" w:leftChars="0" w:firstLine="640" w:firstLineChars="0"/>
        <w:textAlignment w:val="auto"/>
        <w:rPr>
          <w:rFonts w:hint="eastAsia" w:ascii="CESI仿宋-GB2312" w:hAnsi="CESI仿宋-GB2312" w:eastAsia="CESI仿宋-GB2312" w:cs="CESI仿宋-GB2312"/>
          <w:b w:val="0"/>
          <w:bCs w:val="0"/>
          <w:color w:val="auto"/>
          <w:sz w:val="32"/>
          <w:szCs w:val="32"/>
          <w:highlight w:val="none"/>
          <w:u w:val="none"/>
          <w:lang w:val="en-US" w:eastAsia="zh-CN"/>
        </w:rPr>
      </w:pPr>
      <w:r>
        <w:rPr>
          <w:rFonts w:hint="eastAsia" w:ascii="CESI仿宋-GB2312" w:hAnsi="CESI仿宋-GB2312" w:eastAsia="CESI仿宋-GB2312" w:cs="CESI仿宋-GB2312"/>
          <w:b/>
          <w:bCs/>
          <w:color w:val="auto"/>
          <w:sz w:val="32"/>
          <w:szCs w:val="32"/>
          <w:highlight w:val="none"/>
          <w:u w:val="none"/>
          <w:lang w:val="en-US" w:eastAsia="zh-CN"/>
        </w:rPr>
        <w:t>8.大抓工业领域绿色低碳发展。</w:t>
      </w:r>
      <w:r>
        <w:rPr>
          <w:rFonts w:hint="eastAsia" w:ascii="CESI仿宋-GB2312" w:hAnsi="CESI仿宋-GB2312" w:eastAsia="CESI仿宋-GB2312" w:cs="CESI仿宋-GB2312"/>
          <w:b w:val="0"/>
          <w:bCs w:val="0"/>
          <w:color w:val="auto"/>
          <w:sz w:val="32"/>
          <w:szCs w:val="32"/>
          <w:highlight w:val="none"/>
          <w:u w:val="none"/>
          <w:lang w:val="en-US" w:eastAsia="zh-CN"/>
        </w:rPr>
        <w:t>稳妥推进工业领域碳减排，构建绿色制造和服务体系，推进资源节约高效利用。引领绿色制造标杆发挥示范带动作用，推动行业、区域绿色低碳转型升级，新培育省级以上绿色制造示范企业达到30户以上。鼓励绿色低碳改造，推进工业绿色低碳项目35个以上。综合利用好大宗工业固体废物，培育“无废工厂”27个以上。推进绿电交易工作，支持重点用户带动上下游企业全产业链条参与绿电交易。</w:t>
      </w:r>
      <w:r>
        <w:rPr>
          <w:rFonts w:hint="eastAsia" w:ascii="方正黑体_GBK" w:hAnsi="方正黑体_GBK" w:eastAsia="方正黑体_GBK" w:cs="方正黑体_GBK"/>
          <w:color w:val="auto"/>
          <w:sz w:val="32"/>
          <w:szCs w:val="32"/>
          <w:highlight w:val="none"/>
          <w:lang w:val="en-US" w:eastAsia="zh-CN"/>
        </w:rPr>
        <w:t>（责任单位：市工业和信息化局）</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color w:val="auto"/>
          <w:highlight w:val="none"/>
          <w:lang w:val="en-US" w:eastAsia="zh-CN"/>
        </w:rPr>
      </w:pPr>
      <w:r>
        <w:rPr>
          <w:rFonts w:hint="eastAsia" w:ascii="CESI仿宋-GB2312" w:hAnsi="CESI仿宋-GB2312" w:eastAsia="CESI仿宋-GB2312" w:cs="CESI仿宋-GB2312"/>
          <w:b/>
          <w:bCs/>
          <w:color w:val="auto"/>
          <w:sz w:val="32"/>
          <w:szCs w:val="32"/>
          <w:highlight w:val="none"/>
          <w:u w:val="none"/>
          <w:lang w:val="en-US" w:eastAsia="zh-CN"/>
        </w:rPr>
        <w:t>9.</w:t>
      </w:r>
      <w:r>
        <w:rPr>
          <w:rFonts w:hint="eastAsia" w:ascii="CESI仿宋-GB2312" w:hAnsi="CESI仿宋-GB2312" w:eastAsia="CESI仿宋-GB2312" w:cs="CESI仿宋-GB2312"/>
          <w:b/>
          <w:bCs/>
          <w:color w:val="auto"/>
          <w:sz w:val="32"/>
          <w:szCs w:val="32"/>
          <w:highlight w:val="none"/>
          <w:u w:val="none" w:color="auto"/>
          <w:lang w:val="en-US" w:eastAsia="zh-CN"/>
        </w:rPr>
        <w:t>实施中小企业数字化转型普及行动。</w:t>
      </w:r>
      <w:r>
        <w:rPr>
          <w:rFonts w:hint="eastAsia" w:ascii="CESI仿宋-GB2312" w:hAnsi="CESI仿宋-GB2312" w:eastAsia="CESI仿宋-GB2312" w:cs="CESI仿宋-GB2312"/>
          <w:b w:val="0"/>
          <w:bCs w:val="0"/>
          <w:color w:val="auto"/>
          <w:sz w:val="32"/>
          <w:szCs w:val="32"/>
          <w:highlight w:val="none"/>
          <w:u w:val="none" w:color="auto"/>
          <w:lang w:val="en-US" w:eastAsia="zh-CN"/>
        </w:rPr>
        <w:t>以建设国家中小企业数字化转型试点城市为契机，建设制造业数字化转型创新中心，分行业打造中小企业数字化转型服务生态，遴选培育一批优质数字化转型服务商，打造一批“小快轻准”产品及解决方案，全市数字化转型中小企业达到300户以上，企业数字化水平二级以上比例超过90%。</w:t>
      </w:r>
      <w:r>
        <w:rPr>
          <w:rFonts w:hint="eastAsia" w:ascii="方正黑体_GBK" w:hAnsi="方正黑体_GBK" w:eastAsia="方正黑体_GBK" w:cs="方正黑体_GBK"/>
          <w:color w:val="auto"/>
          <w:sz w:val="32"/>
          <w:szCs w:val="32"/>
          <w:highlight w:val="none"/>
          <w:lang w:val="en-US" w:eastAsia="zh-CN"/>
        </w:rPr>
        <w:t>（责任单位：市工业和信息化局）</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方正黑体_GBK" w:hAnsi="方正黑体_GBK" w:eastAsia="方正黑体_GBK" w:cs="方正黑体_GBK"/>
          <w:color w:val="auto"/>
          <w:sz w:val="32"/>
          <w:szCs w:val="32"/>
          <w:highlight w:val="none"/>
          <w:lang w:eastAsia="zh-CN"/>
        </w:rPr>
      </w:pPr>
      <w:r>
        <w:rPr>
          <w:rFonts w:hint="eastAsia" w:ascii="CESI仿宋-GB2312" w:hAnsi="CESI仿宋-GB2312" w:eastAsia="CESI仿宋-GB2312" w:cs="CESI仿宋-GB2312"/>
          <w:b/>
          <w:bCs/>
          <w:color w:val="auto"/>
          <w:sz w:val="32"/>
          <w:szCs w:val="32"/>
          <w:highlight w:val="none"/>
          <w:u w:val="none"/>
          <w:lang w:val="en-US" w:eastAsia="zh-CN"/>
        </w:rPr>
        <w:t>10.推进制造业智能转型示范提升行动。</w:t>
      </w:r>
      <w:r>
        <w:rPr>
          <w:rFonts w:hint="eastAsia" w:ascii="CESI仿宋-GB2312" w:hAnsi="CESI仿宋-GB2312" w:eastAsia="CESI仿宋-GB2312" w:cs="CESI仿宋-GB2312"/>
          <w:b w:val="0"/>
          <w:bCs w:val="0"/>
          <w:color w:val="auto"/>
          <w:sz w:val="32"/>
          <w:szCs w:val="32"/>
          <w:highlight w:val="none"/>
          <w:u w:val="none"/>
          <w:lang w:val="en-US" w:eastAsia="zh-CN"/>
        </w:rPr>
        <w:t>以“智改数转”为抓手，广泛应用“数智”技术为企业赋能，鼓励民营企业开展两化融合管理体系贯标和上云用云,推进工业互联网平台体系建设。实施“双一百培育工程”，争创智能制造示范项目。2024年，力争累计不少于30个省级以上工业互联网平台，上云企业达到4000户；推进智能升级项目100个、数字化场景100个，打造智能工厂10个以上、数字化车间15个以上。提升重点企业数字化研发设计工具普及率和关键工序数控化率。</w:t>
      </w:r>
      <w:r>
        <w:rPr>
          <w:rFonts w:hint="eastAsia" w:ascii="方正黑体_GBK" w:hAnsi="方正黑体_GBK" w:eastAsia="方正黑体_GBK" w:cs="方正黑体_GBK"/>
          <w:color w:val="auto"/>
          <w:sz w:val="32"/>
          <w:szCs w:val="32"/>
          <w:highlight w:val="none"/>
          <w:lang w:val="en-US" w:eastAsia="zh-CN"/>
        </w:rPr>
        <w:t>（责任单位：市工业和信息化局）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b w:val="0"/>
          <w:bCs w:val="0"/>
          <w:color w:val="auto"/>
          <w:sz w:val="32"/>
          <w:szCs w:val="32"/>
          <w:highlight w:val="none"/>
          <w:u w:val="none" w:color="auto"/>
          <w:lang w:val="en-US" w:eastAsia="zh-CN"/>
        </w:rPr>
      </w:pPr>
      <w:r>
        <w:rPr>
          <w:rFonts w:hint="eastAsia" w:ascii="CESI仿宋-GB2312" w:hAnsi="CESI仿宋-GB2312" w:eastAsia="CESI仿宋-GB2312" w:cs="CESI仿宋-GB2312"/>
          <w:b/>
          <w:bCs/>
          <w:color w:val="auto"/>
          <w:sz w:val="32"/>
          <w:szCs w:val="32"/>
          <w:highlight w:val="none"/>
          <w:u w:val="none"/>
          <w:lang w:val="en-US" w:eastAsia="zh-CN"/>
        </w:rPr>
        <w:t>11.支持民营企业助推服务业转型。</w:t>
      </w:r>
      <w:r>
        <w:rPr>
          <w:rFonts w:hint="eastAsia" w:ascii="CESI仿宋-GB2312" w:hAnsi="CESI仿宋-GB2312" w:eastAsia="CESI仿宋-GB2312" w:cs="CESI仿宋-GB2312"/>
          <w:b w:val="0"/>
          <w:bCs w:val="0"/>
          <w:color w:val="auto"/>
          <w:sz w:val="32"/>
          <w:szCs w:val="32"/>
          <w:highlight w:val="none"/>
          <w:u w:val="none"/>
          <w:lang w:val="en-US" w:eastAsia="zh-CN"/>
        </w:rPr>
        <w:t>新建</w:t>
      </w:r>
      <w:r>
        <w:rPr>
          <w:rFonts w:hint="eastAsia" w:ascii="CESI仿宋-GB2312" w:hAnsi="CESI仿宋-GB2312" w:eastAsia="CESI仿宋-GB2312" w:cs="CESI仿宋-GB2312"/>
          <w:b w:val="0"/>
          <w:bCs w:val="0"/>
          <w:color w:val="auto"/>
          <w:sz w:val="32"/>
          <w:szCs w:val="32"/>
          <w:highlight w:val="none"/>
          <w:u w:val="none" w:color="auto"/>
          <w:lang w:val="en-US" w:eastAsia="zh-CN"/>
        </w:rPr>
        <w:t>互联网医院</w:t>
      </w:r>
      <w:r>
        <w:rPr>
          <w:rFonts w:hint="eastAsia" w:ascii="CESI仿宋-GB2312" w:hAnsi="CESI仿宋-GB2312" w:eastAsia="CESI仿宋-GB2312" w:cs="CESI仿宋-GB2312"/>
          <w:b w:val="0"/>
          <w:bCs w:val="0"/>
          <w:color w:val="auto"/>
          <w:sz w:val="32"/>
          <w:szCs w:val="32"/>
          <w:highlight w:val="none"/>
          <w:u w:val="none"/>
          <w:lang w:val="en-US" w:eastAsia="zh-CN"/>
        </w:rPr>
        <w:t>5家以上</w:t>
      </w:r>
      <w:r>
        <w:rPr>
          <w:rFonts w:hint="eastAsia" w:ascii="CESI仿宋-GB2312" w:hAnsi="CESI仿宋-GB2312" w:eastAsia="CESI仿宋-GB2312" w:cs="CESI仿宋-GB2312"/>
          <w:b w:val="0"/>
          <w:bCs w:val="0"/>
          <w:color w:val="auto"/>
          <w:sz w:val="32"/>
          <w:szCs w:val="32"/>
          <w:highlight w:val="none"/>
          <w:u w:val="none" w:color="auto"/>
          <w:lang w:val="en-US" w:eastAsia="zh-CN"/>
        </w:rPr>
        <w:t>，为百姓提供在线咨询、复诊、续方、购药等功能，方便市民线上就医问诊。打造“一机游沈阳”数字文旅平台，开展数字化景区和数字博物馆建设，提供优质数字化文旅服务。建设一批数字引领型文化产业园区（基地），推动数字文化创意产业集聚发展。开展智慧教育示范建设，推动院校信息化项目建设。持续开展电商直播示范主体培育工作，培育3家以上市级电商直播示范基地，开展大型电商促销活动，推动电商直播更好赋能实体商贸。</w:t>
      </w:r>
      <w:r>
        <w:rPr>
          <w:rFonts w:hint="eastAsia" w:ascii="方正黑体_GBK" w:hAnsi="方正黑体_GBK" w:eastAsia="方正黑体_GBK" w:cs="方正黑体_GBK"/>
          <w:color w:val="auto"/>
          <w:sz w:val="32"/>
          <w:szCs w:val="32"/>
          <w:highlight w:val="none"/>
          <w:lang w:val="en-US" w:eastAsia="zh-CN"/>
        </w:rPr>
        <w:t>（责任单位：市卫生健康委、市文化旅游广电局、市教育局、市商务局）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val="0"/>
          <w:bCs w:val="0"/>
          <w:color w:val="auto"/>
          <w:sz w:val="32"/>
          <w:szCs w:val="32"/>
          <w:highlight w:val="none"/>
          <w:lang w:eastAsia="zh-CN"/>
        </w:rPr>
      </w:pPr>
      <w:r>
        <w:rPr>
          <w:rFonts w:hint="eastAsia" w:ascii="楷体" w:hAnsi="楷体" w:eastAsia="楷体" w:cs="楷体"/>
          <w:b w:val="0"/>
          <w:bCs w:val="0"/>
          <w:color w:val="auto"/>
          <w:sz w:val="32"/>
          <w:szCs w:val="32"/>
          <w:highlight w:val="none"/>
          <w:lang w:eastAsia="zh-CN"/>
        </w:rPr>
        <w:t>（三）开展创新能力提升专项行动</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color w:val="auto"/>
          <w:highlight w:val="none"/>
          <w:lang w:val="en-US" w:eastAsia="zh-CN"/>
        </w:rPr>
      </w:pPr>
      <w:r>
        <w:rPr>
          <w:rFonts w:hint="eastAsia" w:ascii="CESI仿宋-GB2312" w:hAnsi="CESI仿宋-GB2312" w:eastAsia="CESI仿宋-GB2312" w:cs="CESI仿宋-GB2312"/>
          <w:b/>
          <w:bCs/>
          <w:color w:val="auto"/>
          <w:sz w:val="32"/>
          <w:szCs w:val="32"/>
          <w:highlight w:val="none"/>
          <w:u w:val="none"/>
          <w:lang w:val="en-US" w:eastAsia="zh-CN"/>
        </w:rPr>
        <w:t>12.加强科技型企业培育。</w:t>
      </w:r>
      <w:r>
        <w:rPr>
          <w:rFonts w:hint="eastAsia" w:ascii="CESI仿宋-GB2312" w:hAnsi="CESI仿宋-GB2312" w:eastAsia="CESI仿宋-GB2312" w:cs="CESI仿宋-GB2312"/>
          <w:b w:val="0"/>
          <w:bCs w:val="0"/>
          <w:color w:val="auto"/>
          <w:sz w:val="32"/>
          <w:szCs w:val="32"/>
          <w:highlight w:val="none"/>
          <w:u w:val="none"/>
          <w:lang w:val="en-US" w:eastAsia="zh-CN"/>
        </w:rPr>
        <w:t>打造市区联动的工作机制，着力营造科技型企业发展的良好生态，建设高新技术企业、瞪羚独角兽企业培育库。围绕科技型企业认定条件、申报流程、支持政策等方面，加强专题培训服务。2024年，全市科技型企业总数超过2.5万家，国家高新技术企业数量达到5900家。</w:t>
      </w:r>
      <w:r>
        <w:rPr>
          <w:rFonts w:hint="eastAsia" w:ascii="方正黑体_GBK" w:hAnsi="方正黑体_GBK" w:eastAsia="方正黑体_GBK" w:cs="方正黑体_GBK"/>
          <w:color w:val="auto"/>
          <w:sz w:val="32"/>
          <w:szCs w:val="32"/>
          <w:highlight w:val="none"/>
          <w:lang w:val="en-US" w:eastAsia="zh-CN"/>
        </w:rPr>
        <w:t>（责任单位：市科技局）</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CESI仿宋-GB2312" w:hAnsi="CESI仿宋-GB2312" w:eastAsia="CESI仿宋-GB2312" w:cs="CESI仿宋-GB2312"/>
          <w:b w:val="0"/>
          <w:bCs w:val="0"/>
          <w:color w:val="auto"/>
          <w:sz w:val="32"/>
          <w:szCs w:val="32"/>
          <w:highlight w:val="none"/>
          <w:u w:val="none" w:color="auto"/>
          <w:lang w:val="en-US" w:eastAsia="zh-CN"/>
        </w:rPr>
      </w:pPr>
      <w:r>
        <w:rPr>
          <w:rFonts w:hint="eastAsia" w:ascii="CESI仿宋-GB2312" w:hAnsi="CESI仿宋-GB2312" w:eastAsia="CESI仿宋-GB2312" w:cs="CESI仿宋-GB2312"/>
          <w:b/>
          <w:bCs/>
          <w:color w:val="auto"/>
          <w:sz w:val="32"/>
          <w:szCs w:val="32"/>
          <w:highlight w:val="none"/>
          <w:u w:val="none"/>
          <w:lang w:val="en-US" w:eastAsia="zh-CN"/>
        </w:rPr>
        <w:t>13.构建科技创新平台体系。</w:t>
      </w:r>
      <w:r>
        <w:rPr>
          <w:rFonts w:hint="eastAsia" w:ascii="仿宋_GB2312" w:hAnsi="仿宋_GB2312" w:eastAsia="仿宋_GB2312" w:cs="仿宋_GB2312"/>
          <w:color w:val="auto"/>
          <w:sz w:val="32"/>
          <w:szCs w:val="32"/>
          <w:highlight w:val="none"/>
          <w:lang w:eastAsia="zh-CN"/>
        </w:rPr>
        <w:t>鼓励高校、科研院所等机构及企业的大型科研仪器设备向民营企业开放共享。</w:t>
      </w:r>
      <w:r>
        <w:rPr>
          <w:rFonts w:hint="eastAsia" w:ascii="CESI仿宋-GB2312" w:hAnsi="CESI仿宋-GB2312" w:eastAsia="CESI仿宋-GB2312" w:cs="CESI仿宋-GB2312"/>
          <w:b w:val="0"/>
          <w:bCs w:val="0"/>
          <w:color w:val="auto"/>
          <w:sz w:val="32"/>
          <w:szCs w:val="32"/>
          <w:highlight w:val="none"/>
          <w:u w:val="none" w:color="auto"/>
          <w:lang w:val="en-US" w:eastAsia="zh-CN"/>
        </w:rPr>
        <w:t>推动重大创新平台加快建设、发挥作用；推动超大型深部工程灾害物理模拟设施按计划开展基础设施建设；条件平台注册企业用户3000家以上，新增服务项目100项左右，新增都市圈服务机构10家左右。</w:t>
      </w:r>
      <w:r>
        <w:rPr>
          <w:rFonts w:hint="eastAsia" w:ascii="方正黑体_GBK" w:hAnsi="方正黑体_GBK" w:eastAsia="方正黑体_GBK" w:cs="方正黑体_GBK"/>
          <w:color w:val="auto"/>
          <w:sz w:val="32"/>
          <w:szCs w:val="32"/>
          <w:highlight w:val="none"/>
          <w:lang w:val="en-US" w:eastAsia="zh-CN"/>
        </w:rPr>
        <w:t>（责任单位：市科技局）</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CESI仿宋-GB2312" w:hAnsi="CESI仿宋-GB2312" w:eastAsia="CESI仿宋-GB2312" w:cs="CESI仿宋-GB2312"/>
          <w:b w:val="0"/>
          <w:bCs w:val="0"/>
          <w:color w:val="auto"/>
          <w:sz w:val="32"/>
          <w:szCs w:val="32"/>
          <w:highlight w:val="none"/>
          <w:u w:val="none" w:color="auto"/>
          <w:lang w:val="en-US" w:eastAsia="zh-CN"/>
        </w:rPr>
      </w:pPr>
      <w:r>
        <w:rPr>
          <w:rFonts w:hint="eastAsia" w:ascii="CESI仿宋-GB2312" w:hAnsi="CESI仿宋-GB2312" w:eastAsia="CESI仿宋-GB2312" w:cs="CESI仿宋-GB2312"/>
          <w:b/>
          <w:bCs/>
          <w:color w:val="auto"/>
          <w:sz w:val="32"/>
          <w:szCs w:val="32"/>
          <w:highlight w:val="none"/>
          <w:u w:val="none"/>
          <w:lang w:val="en-US" w:eastAsia="zh-CN"/>
        </w:rPr>
        <w:t>14.促进科技成果转化。</w:t>
      </w:r>
      <w:r>
        <w:rPr>
          <w:rFonts w:hint="eastAsia" w:ascii="CESI仿宋-GB2312" w:hAnsi="CESI仿宋-GB2312" w:eastAsia="CESI仿宋-GB2312" w:cs="CESI仿宋-GB2312"/>
          <w:b w:val="0"/>
          <w:bCs w:val="0"/>
          <w:color w:val="auto"/>
          <w:sz w:val="32"/>
          <w:szCs w:val="32"/>
          <w:highlight w:val="none"/>
          <w:lang w:val="en-US" w:eastAsia="zh-CN"/>
        </w:rPr>
        <w:t>鼓励企业联合高校院所建设科技成果转化中试基地，开展中试试验、技术熟化和工程化研究，深入实施科技成果转化中试基地“奖补”变“股权”政策。制定大学科技园管理办法，大力建设、发展大学科技园、创业吧、科技成果转化和产业化基地（含概念验证中心、中试平台）等100家科技成果转化承接载体。</w:t>
      </w:r>
      <w:r>
        <w:rPr>
          <w:rFonts w:hint="eastAsia" w:ascii="方正黑体_GBK" w:hAnsi="方正黑体_GBK" w:eastAsia="方正黑体_GBK" w:cs="方正黑体_GBK"/>
          <w:color w:val="auto"/>
          <w:sz w:val="32"/>
          <w:szCs w:val="32"/>
          <w:highlight w:val="none"/>
          <w:lang w:val="en-US" w:eastAsia="zh-CN"/>
        </w:rPr>
        <w:t>（责任单位：市科技局）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b w:val="0"/>
          <w:bCs w:val="0"/>
          <w:color w:val="auto"/>
          <w:sz w:val="32"/>
          <w:szCs w:val="32"/>
          <w:highlight w:val="none"/>
          <w:lang w:eastAsia="zh-CN"/>
        </w:rPr>
      </w:pPr>
      <w:r>
        <w:rPr>
          <w:rFonts w:hint="eastAsia" w:ascii="楷体" w:hAnsi="楷体" w:eastAsia="楷体" w:cs="楷体"/>
          <w:b w:val="0"/>
          <w:bCs w:val="0"/>
          <w:color w:val="auto"/>
          <w:sz w:val="32"/>
          <w:szCs w:val="32"/>
          <w:highlight w:val="none"/>
          <w:lang w:eastAsia="zh-CN"/>
        </w:rPr>
        <w:t>（四）开展提升民营企业竞争力专项行动</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方正黑体_GBK" w:hAnsi="方正黑体_GBK" w:eastAsia="方正黑体_GBK" w:cs="方正黑体_GBK"/>
          <w:color w:val="auto"/>
          <w:sz w:val="32"/>
          <w:szCs w:val="32"/>
          <w:highlight w:val="none"/>
          <w:lang w:eastAsia="zh-CN"/>
        </w:rPr>
      </w:pPr>
      <w:r>
        <w:rPr>
          <w:rFonts w:hint="eastAsia" w:ascii="CESI仿宋-GB2312" w:hAnsi="CESI仿宋-GB2312" w:eastAsia="CESI仿宋-GB2312" w:cs="CESI仿宋-GB2312"/>
          <w:b/>
          <w:bCs/>
          <w:color w:val="auto"/>
          <w:sz w:val="32"/>
          <w:szCs w:val="32"/>
          <w:highlight w:val="none"/>
          <w:u w:val="none"/>
          <w:lang w:val="en-US" w:eastAsia="zh-CN"/>
        </w:rPr>
        <w:t>15.完善社会化企业服务体系。</w:t>
      </w:r>
      <w:r>
        <w:rPr>
          <w:rFonts w:hint="eastAsia" w:ascii="CESI仿宋-GB2312" w:hAnsi="CESI仿宋-GB2312" w:eastAsia="CESI仿宋-GB2312" w:cs="CESI仿宋-GB2312"/>
          <w:b w:val="0"/>
          <w:bCs w:val="0"/>
          <w:color w:val="auto"/>
          <w:sz w:val="32"/>
          <w:szCs w:val="32"/>
          <w:highlight w:val="none"/>
          <w:u w:val="none" w:color="auto"/>
          <w:lang w:val="en-US" w:eastAsia="zh-CN"/>
        </w:rPr>
        <w:t>完善社会化服务体系和服务场景，建设社会化企业服务大厅。探索建设实体化“惠帮企@链上沈阳·街道（园区）服务驿站”，打造“惠帮企@链上沈阳·供需大集”“惠帮企@链上沈阳·企业学堂”品牌，形成快速响应、分行业分类别响应的服务体系。以“律所+商会”模式，开展10场普法宣传活动，为民营企业提供形式多样的法律服务。开展“沈商招才”系列活动10期，服务企业1000家以上；开展“沈商金融”系列活动12期，引入金融活水襄助民企振兴。</w:t>
      </w:r>
      <w:r>
        <w:rPr>
          <w:rFonts w:hint="eastAsia" w:ascii="方正黑体_GBK" w:hAnsi="方正黑体_GBK" w:eastAsia="方正黑体_GBK" w:cs="方正黑体_GBK"/>
          <w:color w:val="auto"/>
          <w:sz w:val="32"/>
          <w:szCs w:val="32"/>
          <w:highlight w:val="none"/>
          <w:lang w:eastAsia="zh-CN"/>
        </w:rPr>
        <w:t>（责任单</w:t>
      </w:r>
      <w:r>
        <w:rPr>
          <w:rFonts w:hint="eastAsia" w:ascii="方正黑体_GBK" w:hAnsi="方正黑体_GBK" w:eastAsia="方正黑体_GBK" w:cs="方正黑体_GBK"/>
          <w:color w:val="auto"/>
          <w:sz w:val="32"/>
          <w:szCs w:val="32"/>
          <w:highlight w:val="none"/>
          <w:lang w:val="en-US" w:eastAsia="zh-CN"/>
        </w:rPr>
        <w:t>位：市委统战部、市工商联</w:t>
      </w:r>
      <w:r>
        <w:rPr>
          <w:rFonts w:hint="eastAsia" w:ascii="方正黑体_GBK" w:hAnsi="方正黑体_GBK" w:eastAsia="方正黑体_GBK" w:cs="方正黑体_GBK"/>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color w:val="auto"/>
          <w:highlight w:val="none"/>
          <w:lang w:val="en-US" w:eastAsia="zh-CN"/>
        </w:rPr>
      </w:pPr>
      <w:r>
        <w:rPr>
          <w:rFonts w:hint="eastAsia" w:ascii="CESI仿宋-GB2312" w:hAnsi="CESI仿宋-GB2312" w:eastAsia="CESI仿宋-GB2312" w:cs="CESI仿宋-GB2312"/>
          <w:b/>
          <w:bCs/>
          <w:color w:val="auto"/>
          <w:sz w:val="32"/>
          <w:szCs w:val="32"/>
          <w:highlight w:val="none"/>
          <w:u w:val="none"/>
          <w:lang w:val="en-US" w:eastAsia="zh-CN"/>
        </w:rPr>
        <w:t>16.建立健全民营企业家培训体系。</w:t>
      </w:r>
      <w:r>
        <w:rPr>
          <w:rFonts w:hint="eastAsia" w:ascii="CESI仿宋-GB2312" w:hAnsi="CESI仿宋-GB2312" w:eastAsia="CESI仿宋-GB2312" w:cs="CESI仿宋-GB2312"/>
          <w:b w:val="0"/>
          <w:bCs w:val="0"/>
          <w:color w:val="auto"/>
          <w:sz w:val="32"/>
          <w:szCs w:val="32"/>
          <w:highlight w:val="none"/>
          <w:u w:val="none" w:color="auto"/>
          <w:lang w:val="en-US" w:eastAsia="zh-CN"/>
        </w:rPr>
        <w:t>开展民营企业家理想信念教育，到国内知名革命教育基地举办培训班；实施企业家能力素质提升工程，到国内知名高校举办培训班。每季度举办“沈商大讲堂”专题讲座，组织开展“沈商科技”系列活动。加强青年企业家培训，开展红色教育主题沙龙活动，举办青蓝接力活动。依托企业培训机构，围绕企业经营管理、开拓国际市场等开展系统培训；依托中小企业公共服务示范平台、中小微企业创新创业示范基地开展至少30次以上培训。精益管理培训1000人次以上。</w:t>
      </w:r>
      <w:r>
        <w:rPr>
          <w:rFonts w:hint="eastAsia" w:ascii="方正黑体_GBK" w:hAnsi="方正黑体_GBK" w:eastAsia="方正黑体_GBK" w:cs="方正黑体_GBK"/>
          <w:color w:val="auto"/>
          <w:sz w:val="32"/>
          <w:szCs w:val="32"/>
          <w:highlight w:val="none"/>
          <w:lang w:val="en-US" w:eastAsia="zh-CN"/>
        </w:rPr>
        <w:t>〔</w:t>
      </w:r>
      <w:r>
        <w:rPr>
          <w:rFonts w:hint="eastAsia" w:ascii="方正黑体_GBK" w:hAnsi="方正黑体_GBK" w:eastAsia="方正黑体_GBK" w:cs="方正黑体_GBK"/>
          <w:color w:val="auto"/>
          <w:sz w:val="32"/>
          <w:szCs w:val="32"/>
          <w:highlight w:val="none"/>
          <w:lang w:eastAsia="zh-CN"/>
        </w:rPr>
        <w:t>责任单位</w:t>
      </w:r>
      <w:r>
        <w:rPr>
          <w:rFonts w:hint="eastAsia" w:ascii="方正黑体_GBK" w:hAnsi="方正黑体_GBK" w:eastAsia="方正黑体_GBK" w:cs="方正黑体_GBK"/>
          <w:color w:val="auto"/>
          <w:sz w:val="32"/>
          <w:szCs w:val="32"/>
          <w:highlight w:val="none"/>
          <w:lang w:val="en-US" w:eastAsia="zh-CN"/>
        </w:rPr>
        <w:t>：市委统战部、市工业和信息化局、市工商联，各区</w:t>
      </w:r>
      <w:r>
        <w:rPr>
          <w:rFonts w:hint="eastAsia" w:ascii="方正黑体_GBK" w:hAnsi="方正黑体_GBK" w:eastAsia="方正黑体_GBK" w:cs="方正黑体_GBK"/>
          <w:color w:val="auto"/>
          <w:sz w:val="32"/>
          <w:szCs w:val="32"/>
          <w:highlight w:val="none"/>
          <w:lang w:eastAsia="zh-CN"/>
        </w:rPr>
        <w:t>县（市）政府</w:t>
      </w:r>
      <w:r>
        <w:rPr>
          <w:rFonts w:hint="eastAsia" w:ascii="方正黑体_GBK" w:hAnsi="方正黑体_GBK" w:eastAsia="方正黑体_GBK" w:cs="方正黑体_GBK"/>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方正黑体_GBK" w:hAnsi="方正黑体_GBK" w:eastAsia="方正黑体_GBK" w:cs="方正黑体_GBK"/>
          <w:color w:val="auto"/>
          <w:sz w:val="32"/>
          <w:szCs w:val="32"/>
          <w:highlight w:val="none"/>
          <w:lang w:eastAsia="zh-CN"/>
        </w:rPr>
      </w:pPr>
      <w:r>
        <w:rPr>
          <w:rFonts w:hint="eastAsia" w:ascii="CESI仿宋-GB2312" w:hAnsi="CESI仿宋-GB2312" w:eastAsia="CESI仿宋-GB2312" w:cs="CESI仿宋-GB2312"/>
          <w:b/>
          <w:bCs/>
          <w:color w:val="auto"/>
          <w:sz w:val="32"/>
          <w:szCs w:val="32"/>
          <w:highlight w:val="none"/>
          <w:u w:val="none"/>
          <w:lang w:val="en-US" w:eastAsia="zh-CN"/>
        </w:rPr>
        <w:t>17.加强民营企业人才引育。</w:t>
      </w:r>
      <w:r>
        <w:rPr>
          <w:rFonts w:hint="eastAsia" w:ascii="CESI仿宋-GB2312" w:hAnsi="CESI仿宋-GB2312" w:eastAsia="CESI仿宋-GB2312" w:cs="CESI仿宋-GB2312"/>
          <w:color w:val="auto"/>
          <w:sz w:val="32"/>
          <w:szCs w:val="32"/>
          <w:highlight w:val="none"/>
          <w:lang w:eastAsia="zh-CN"/>
        </w:rPr>
        <w:t>坚持人才“全周期”服务理念，完善人才“引、育、用、留”服务体系。</w:t>
      </w:r>
      <w:r>
        <w:rPr>
          <w:rFonts w:hint="eastAsia" w:ascii="CESI仿宋-GB2312" w:hAnsi="CESI仿宋-GB2312" w:eastAsia="CESI仿宋-GB2312" w:cs="CESI仿宋-GB2312"/>
          <w:b w:val="0"/>
          <w:bCs w:val="0"/>
          <w:color w:val="auto"/>
          <w:sz w:val="32"/>
          <w:szCs w:val="32"/>
          <w:highlight w:val="none"/>
          <w:u w:val="none" w:color="auto"/>
          <w:lang w:val="en-US" w:eastAsia="zh-CN"/>
        </w:rPr>
        <w:t>发布2024年度《急需紧缺人才需求目录》，修订完善《沈阳市职业院校技工学校输送毕业生奖励实施意见》。开展大学生专业转换及技能提升培训1000人以上。择优评选高技能人才培训基地、技能大师工作室，评选兴沈大工匠、沈阳市优秀技术能手各10个。开展非公领域专业技术人员高级职称评审。</w:t>
      </w:r>
      <w:r>
        <w:rPr>
          <w:rFonts w:hint="eastAsia" w:ascii="方正黑体_GBK" w:hAnsi="方正黑体_GBK" w:eastAsia="方正黑体_GBK" w:cs="方正黑体_GBK"/>
          <w:color w:val="auto"/>
          <w:sz w:val="32"/>
          <w:szCs w:val="32"/>
          <w:highlight w:val="none"/>
          <w:lang w:eastAsia="zh-CN"/>
        </w:rPr>
        <w:t>（责任单位：市人力资源社会保障局）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val="0"/>
          <w:bCs w:val="0"/>
          <w:color w:val="auto"/>
          <w:sz w:val="32"/>
          <w:szCs w:val="32"/>
          <w:highlight w:val="none"/>
          <w:lang w:eastAsia="zh-CN"/>
        </w:rPr>
      </w:pPr>
      <w:r>
        <w:rPr>
          <w:rFonts w:hint="eastAsia" w:ascii="楷体" w:hAnsi="楷体" w:eastAsia="楷体" w:cs="楷体"/>
          <w:b w:val="0"/>
          <w:bCs w:val="0"/>
          <w:color w:val="auto"/>
          <w:sz w:val="32"/>
          <w:szCs w:val="32"/>
          <w:highlight w:val="none"/>
          <w:lang w:eastAsia="zh-CN"/>
        </w:rPr>
        <w:t>（五）开展融资促进专项行动</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方正黑体_GBK" w:hAnsi="方正黑体_GBK" w:eastAsia="方正黑体_GBK" w:cs="方正黑体_GBK"/>
          <w:color w:val="auto"/>
          <w:sz w:val="32"/>
          <w:szCs w:val="32"/>
          <w:highlight w:val="none"/>
          <w:lang w:eastAsia="zh-CN"/>
        </w:rPr>
      </w:pPr>
      <w:r>
        <w:rPr>
          <w:rFonts w:hint="eastAsia" w:ascii="CESI仿宋-GB2312" w:hAnsi="CESI仿宋-GB2312" w:eastAsia="CESI仿宋-GB2312" w:cs="CESI仿宋-GB2312"/>
          <w:b/>
          <w:bCs/>
          <w:color w:val="auto"/>
          <w:sz w:val="32"/>
          <w:szCs w:val="32"/>
          <w:highlight w:val="none"/>
          <w:u w:val="none"/>
          <w:lang w:val="en-US" w:eastAsia="zh-CN"/>
        </w:rPr>
        <w:t>18.改善民营企业金融服务。</w:t>
      </w:r>
      <w:r>
        <w:rPr>
          <w:rFonts w:hint="eastAsia" w:ascii="CESI仿宋-GB2312" w:hAnsi="CESI仿宋-GB2312" w:eastAsia="CESI仿宋-GB2312" w:cs="CESI仿宋-GB2312"/>
          <w:b w:val="0"/>
          <w:bCs w:val="0"/>
          <w:color w:val="auto"/>
          <w:sz w:val="32"/>
          <w:szCs w:val="32"/>
          <w:highlight w:val="none"/>
          <w:u w:val="none" w:color="auto"/>
          <w:lang w:val="en-US" w:eastAsia="zh-CN"/>
        </w:rPr>
        <w:t>常态化开展银企对接活动，建立金融部门与项目主管部门常态化工作协调和对接机制，梳理形成融资清单，每季度向金融机构推送。建立信贷周调度、月分析机制，定期调度银行机构加大信贷投放。支持金融机构加大力度推进“助保贷”业务、扩展“稳企贷”业务。引导银行机构开展“首贷户”培育拓展行动，组织首贷贴息政策宣传推介，每季度开展首贷贴息审核，支持民营经济发展。</w:t>
      </w:r>
      <w:r>
        <w:rPr>
          <w:rFonts w:hint="eastAsia" w:ascii="方正黑体_GBK" w:hAnsi="方正黑体_GBK" w:eastAsia="方正黑体_GBK" w:cs="方正黑体_GBK"/>
          <w:color w:val="auto"/>
          <w:sz w:val="32"/>
          <w:szCs w:val="32"/>
          <w:highlight w:val="none"/>
          <w:lang w:eastAsia="zh-CN"/>
        </w:rPr>
        <w:t>（责任单位：市金融发展局、市工业和信息化局）</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方正黑体_GBK" w:hAnsi="方正黑体_GBK" w:eastAsia="方正黑体_GBK" w:cs="方正黑体_GBK"/>
          <w:color w:val="auto"/>
          <w:sz w:val="32"/>
          <w:szCs w:val="32"/>
          <w:highlight w:val="none"/>
          <w:lang w:eastAsia="zh-CN"/>
        </w:rPr>
      </w:pPr>
      <w:r>
        <w:rPr>
          <w:rFonts w:hint="eastAsia" w:ascii="CESI仿宋-GB2312" w:hAnsi="CESI仿宋-GB2312" w:eastAsia="CESI仿宋-GB2312" w:cs="CESI仿宋-GB2312"/>
          <w:b/>
          <w:bCs/>
          <w:color w:val="auto"/>
          <w:sz w:val="32"/>
          <w:szCs w:val="32"/>
          <w:highlight w:val="none"/>
          <w:u w:val="none"/>
          <w:lang w:val="en-US" w:eastAsia="zh-CN"/>
        </w:rPr>
        <w:t>19.支持民营企业直接融资。</w:t>
      </w:r>
      <w:r>
        <w:rPr>
          <w:rFonts w:hint="eastAsia" w:ascii="CESI仿宋-GB2312" w:hAnsi="CESI仿宋-GB2312" w:eastAsia="CESI仿宋-GB2312" w:cs="CESI仿宋-GB2312"/>
          <w:b w:val="0"/>
          <w:bCs w:val="0"/>
          <w:color w:val="auto"/>
          <w:sz w:val="32"/>
          <w:szCs w:val="32"/>
          <w:highlight w:val="none"/>
          <w:u w:val="none" w:color="auto"/>
          <w:lang w:val="en-US" w:eastAsia="zh-CN"/>
        </w:rPr>
        <w:t>实现上市后备企业库提质增量，力争达到800户。对入库企业实施一企一档精细化管理，建档企业达200户以上，按所在区域、上市进度、所属产业链、拟报板块、辅导审核阶段等科学分类，设立若干子库，分类管理、动态调整、梯次培育。实施资本市场培育工程，举办“产业与资本沙龙”系列活动4场以上，形成产业链、技术链、人才链、资金链、政策链的无缝衔接，拓宽企业视野、融合产业发展资源，推动企业快速发展。</w:t>
      </w:r>
      <w:r>
        <w:rPr>
          <w:rFonts w:hint="eastAsia" w:ascii="方正黑体_GBK" w:hAnsi="方正黑体_GBK" w:eastAsia="方正黑体_GBK" w:cs="方正黑体_GBK"/>
          <w:color w:val="auto"/>
          <w:sz w:val="32"/>
          <w:szCs w:val="32"/>
          <w:highlight w:val="none"/>
          <w:lang w:eastAsia="zh-CN"/>
        </w:rPr>
        <w:t>（责任单位：市金融发展局）</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方正黑体_GBK" w:hAnsi="方正黑体_GBK" w:eastAsia="方正黑体_GBK" w:cs="方正黑体_GBK"/>
          <w:color w:val="auto"/>
          <w:sz w:val="32"/>
          <w:szCs w:val="32"/>
          <w:highlight w:val="none"/>
          <w:lang w:eastAsia="zh-CN"/>
        </w:rPr>
      </w:pPr>
      <w:r>
        <w:rPr>
          <w:rFonts w:hint="eastAsia" w:ascii="CESI仿宋-GB2312" w:hAnsi="CESI仿宋-GB2312" w:eastAsia="CESI仿宋-GB2312" w:cs="CESI仿宋-GB2312"/>
          <w:b/>
          <w:bCs/>
          <w:color w:val="auto"/>
          <w:sz w:val="32"/>
          <w:szCs w:val="32"/>
          <w:highlight w:val="none"/>
          <w:u w:val="none"/>
          <w:lang w:val="en-US" w:eastAsia="zh-CN"/>
        </w:rPr>
        <w:t>20.加快完善融资担保体系。</w:t>
      </w:r>
      <w:r>
        <w:rPr>
          <w:rFonts w:hint="eastAsia" w:ascii="CESI仿宋-GB2312" w:hAnsi="CESI仿宋-GB2312" w:eastAsia="CESI仿宋-GB2312" w:cs="CESI仿宋-GB2312"/>
          <w:b w:val="0"/>
          <w:bCs w:val="0"/>
          <w:color w:val="auto"/>
          <w:sz w:val="32"/>
          <w:szCs w:val="32"/>
          <w:highlight w:val="none"/>
          <w:u w:val="none" w:color="auto"/>
          <w:lang w:val="en-US" w:eastAsia="zh-CN"/>
        </w:rPr>
        <w:t>继续推动政府性融资担保机构发展，完善政府性融资担保机构内控制度，对符合条件的融资担保业务积极申报国家融资担保基金，加大对小微企业和“三农”主体的担保服务力度。争取政府性融资担保机构全年累担保额超30亿元。</w:t>
      </w:r>
      <w:r>
        <w:rPr>
          <w:rFonts w:hint="eastAsia" w:ascii="方正黑体_GBK" w:hAnsi="方正黑体_GBK" w:eastAsia="方正黑体_GBK" w:cs="方正黑体_GBK"/>
          <w:color w:val="auto"/>
          <w:sz w:val="32"/>
          <w:szCs w:val="32"/>
          <w:highlight w:val="none"/>
          <w:lang w:eastAsia="zh-CN"/>
        </w:rPr>
        <w:t>（责任单位：市金融发展局）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CESI楷体-GB2312" w:hAnsi="CESI楷体-GB2312" w:eastAsia="CESI楷体-GB2312" w:cs="CESI楷体-GB2312"/>
          <w:b w:val="0"/>
          <w:bCs w:val="0"/>
          <w:color w:val="auto"/>
          <w:sz w:val="32"/>
          <w:szCs w:val="32"/>
          <w:highlight w:val="none"/>
          <w:lang w:eastAsia="zh-CN"/>
        </w:rPr>
      </w:pPr>
      <w:r>
        <w:rPr>
          <w:rFonts w:hint="eastAsia" w:ascii="楷体" w:hAnsi="楷体" w:eastAsia="楷体" w:cs="楷体"/>
          <w:b w:val="0"/>
          <w:bCs w:val="0"/>
          <w:color w:val="auto"/>
          <w:sz w:val="32"/>
          <w:szCs w:val="32"/>
          <w:highlight w:val="none"/>
          <w:lang w:eastAsia="zh-CN"/>
        </w:rPr>
        <w:t>（六）开展促进开放合作专项行动</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方正黑体_GBK" w:hAnsi="方正黑体_GBK" w:eastAsia="方正黑体_GBK" w:cs="方正黑体_GBK"/>
          <w:color w:val="auto"/>
          <w:sz w:val="32"/>
          <w:szCs w:val="32"/>
          <w:highlight w:val="none"/>
          <w:lang w:eastAsia="zh-CN"/>
        </w:rPr>
      </w:pPr>
      <w:r>
        <w:rPr>
          <w:rFonts w:hint="eastAsia" w:ascii="CESI仿宋-GB2312" w:hAnsi="CESI仿宋-GB2312" w:eastAsia="CESI仿宋-GB2312" w:cs="CESI仿宋-GB2312"/>
          <w:b/>
          <w:bCs/>
          <w:color w:val="auto"/>
          <w:sz w:val="32"/>
          <w:szCs w:val="32"/>
          <w:highlight w:val="none"/>
          <w:u w:val="none"/>
          <w:lang w:val="en-US" w:eastAsia="zh-CN"/>
        </w:rPr>
        <w:t>21.鼓励民营企业开拓国际市场。</w:t>
      </w:r>
      <w:r>
        <w:rPr>
          <w:rFonts w:hint="eastAsia" w:ascii="CESI仿宋-GB2312" w:hAnsi="CESI仿宋-GB2312" w:eastAsia="CESI仿宋-GB2312" w:cs="CESI仿宋-GB2312"/>
          <w:b w:val="0"/>
          <w:bCs w:val="0"/>
          <w:color w:val="auto"/>
          <w:sz w:val="32"/>
          <w:szCs w:val="32"/>
          <w:highlight w:val="none"/>
          <w:u w:val="none" w:color="auto"/>
          <w:lang w:val="en-US" w:eastAsia="zh-CN"/>
        </w:rPr>
        <w:t>进一步完善企业“走出去”联盟工作机制，积极融入“一带一路”建设，利用境外展会平台促进国际经贸发展和项目合作功能，以组织企业参加境外展会为载体，引领企业抱团出海参加境外展洽活动，继续实施名优产品“一带一路”海外行经贸活动，拓展“一带一路”海外行品牌深化企业参展洽谈。深入发掘符合条件的境外上市后备企业资源，针对性的开展资本市场直接融资培训、路演等对接活动。</w:t>
      </w:r>
      <w:r>
        <w:rPr>
          <w:rFonts w:hint="eastAsia" w:ascii="方正黑体_GBK" w:hAnsi="方正黑体_GBK" w:eastAsia="方正黑体_GBK" w:cs="方正黑体_GBK"/>
          <w:color w:val="auto"/>
          <w:sz w:val="32"/>
          <w:szCs w:val="32"/>
          <w:highlight w:val="none"/>
          <w:lang w:eastAsia="zh-CN"/>
        </w:rPr>
        <w:t>（责任单位：市商务局、市贸促会、市金融发展局）</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方正黑体_GBK" w:hAnsi="方正黑体_GBK" w:eastAsia="方正黑体_GBK" w:cs="方正黑体_GBK"/>
          <w:color w:val="auto"/>
          <w:sz w:val="32"/>
          <w:szCs w:val="32"/>
          <w:highlight w:val="none"/>
          <w:lang w:eastAsia="zh-CN"/>
        </w:rPr>
      </w:pPr>
      <w:r>
        <w:rPr>
          <w:rFonts w:hint="eastAsia" w:ascii="CESI仿宋-GB2312" w:hAnsi="CESI仿宋-GB2312" w:eastAsia="CESI仿宋-GB2312" w:cs="CESI仿宋-GB2312"/>
          <w:b/>
          <w:bCs/>
          <w:color w:val="auto"/>
          <w:sz w:val="32"/>
          <w:szCs w:val="32"/>
          <w:highlight w:val="none"/>
          <w:u w:val="none"/>
          <w:lang w:val="en-US" w:eastAsia="zh-CN"/>
        </w:rPr>
        <w:t>22.支持民营企业参与区域经济合作。</w:t>
      </w:r>
      <w:r>
        <w:rPr>
          <w:rFonts w:hint="eastAsia" w:ascii="CESI仿宋-GB2312" w:hAnsi="CESI仿宋-GB2312" w:eastAsia="CESI仿宋-GB2312" w:cs="CESI仿宋-GB2312"/>
          <w:b w:val="0"/>
          <w:bCs w:val="0"/>
          <w:color w:val="auto"/>
          <w:sz w:val="32"/>
          <w:szCs w:val="32"/>
          <w:highlight w:val="none"/>
          <w:lang w:eastAsia="zh-CN"/>
        </w:rPr>
        <w:t>充分发挥沈阳地处东北亚经济圈中心的区位优势，加强与</w:t>
      </w:r>
      <w:r>
        <w:rPr>
          <w:rFonts w:hint="eastAsia" w:ascii="CESI仿宋-GB2312" w:hAnsi="CESI仿宋-GB2312" w:eastAsia="CESI仿宋-GB2312" w:cs="CESI仿宋-GB2312"/>
          <w:b w:val="0"/>
          <w:bCs w:val="0"/>
          <w:color w:val="auto"/>
          <w:sz w:val="32"/>
          <w:szCs w:val="32"/>
          <w:highlight w:val="none"/>
          <w:u w:val="none" w:color="auto"/>
          <w:lang w:val="en-US" w:eastAsia="zh-CN"/>
        </w:rPr>
        <w:t>长三角、珠三角、京津冀地区的合作，积极开展招商引资促进周活动。搭建都市圈产业协作交流平台，组织企业开展配套对接活动。</w:t>
      </w:r>
      <w:r>
        <w:rPr>
          <w:rFonts w:hint="eastAsia" w:ascii="方正黑体_GBK" w:hAnsi="方正黑体_GBK" w:eastAsia="方正黑体_GBK" w:cs="方正黑体_GBK"/>
          <w:color w:val="auto"/>
          <w:sz w:val="32"/>
          <w:szCs w:val="32"/>
          <w:highlight w:val="none"/>
          <w:lang w:eastAsia="zh-CN"/>
        </w:rPr>
        <w:t>（责任单位：</w:t>
      </w:r>
      <w:r>
        <w:rPr>
          <w:rFonts w:hint="eastAsia" w:ascii="方正黑体_GBK" w:hAnsi="方正黑体_GBK" w:eastAsia="方正黑体_GBK" w:cs="方正黑体_GBK"/>
          <w:i w:val="0"/>
          <w:caps w:val="0"/>
          <w:color w:val="auto"/>
          <w:spacing w:val="0"/>
          <w:kern w:val="0"/>
          <w:sz w:val="32"/>
          <w:szCs w:val="32"/>
          <w:highlight w:val="none"/>
          <w:shd w:val="clear" w:color="auto" w:fill="FFFFFF"/>
          <w:lang w:val="en-US" w:eastAsia="zh-CN" w:bidi="ar"/>
        </w:rPr>
        <w:t>市发展改革委</w:t>
      </w:r>
      <w:r>
        <w:rPr>
          <w:rFonts w:hint="eastAsia" w:ascii="方正黑体_GBK" w:hAnsi="方正黑体_GBK" w:eastAsia="方正黑体_GBK" w:cs="方正黑体_GBK"/>
          <w:color w:val="auto"/>
          <w:sz w:val="32"/>
          <w:szCs w:val="32"/>
          <w:highlight w:val="none"/>
          <w:lang w:eastAsia="zh-CN"/>
        </w:rPr>
        <w:t>、市商务局）</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方正黑体_GBK" w:hAnsi="方正黑体_GBK" w:eastAsia="方正黑体_GBK" w:cs="方正黑体_GBK"/>
          <w:color w:val="auto"/>
          <w:sz w:val="32"/>
          <w:szCs w:val="32"/>
          <w:highlight w:val="none"/>
          <w:lang w:eastAsia="zh-CN"/>
        </w:rPr>
      </w:pPr>
      <w:r>
        <w:rPr>
          <w:rFonts w:hint="eastAsia" w:ascii="CESI仿宋-GB2312" w:hAnsi="CESI仿宋-GB2312" w:eastAsia="CESI仿宋-GB2312" w:cs="CESI仿宋-GB2312"/>
          <w:b/>
          <w:bCs/>
          <w:color w:val="auto"/>
          <w:sz w:val="32"/>
          <w:szCs w:val="32"/>
          <w:highlight w:val="none"/>
          <w:u w:val="none"/>
          <w:lang w:val="en-US" w:eastAsia="zh-CN"/>
        </w:rPr>
        <w:t>23.引导民营企业利用各类经贸平台开展合作交流。</w:t>
      </w:r>
      <w:r>
        <w:rPr>
          <w:rFonts w:hint="eastAsia" w:ascii="CESI仿宋-GB2312" w:hAnsi="CESI仿宋-GB2312" w:eastAsia="CESI仿宋-GB2312" w:cs="CESI仿宋-GB2312"/>
          <w:b w:val="0"/>
          <w:bCs w:val="0"/>
          <w:color w:val="auto"/>
          <w:sz w:val="32"/>
          <w:szCs w:val="32"/>
          <w:highlight w:val="none"/>
          <w:u w:val="none" w:color="auto"/>
          <w:lang w:val="en-US" w:eastAsia="zh-CN"/>
        </w:rPr>
        <w:t>筹备举办第九届中国沈阳国际机器人大会。组织企业参加广州中国国际中小企业博览会、全国专精特新发展大会，德国汉诺威工业博览会、日本大阪展会、中国-东盟博览会等展会等境内外重点展会，宣传企业形象，助力企业开拓市场。</w:t>
      </w:r>
      <w:r>
        <w:rPr>
          <w:rFonts w:hint="eastAsia" w:ascii="方正黑体_GBK" w:hAnsi="方正黑体_GBK" w:eastAsia="方正黑体_GBK" w:cs="方正黑体_GBK"/>
          <w:color w:val="auto"/>
          <w:sz w:val="32"/>
          <w:szCs w:val="32"/>
          <w:highlight w:val="none"/>
          <w:lang w:eastAsia="zh-CN"/>
        </w:rPr>
        <w:t>（责任单位：市商务局、市贸促会、市工业和信息化局）</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方正黑体_GBK" w:hAnsi="方正黑体_GBK" w:eastAsia="方正黑体_GBK" w:cs="方正黑体_GBK"/>
          <w:color w:val="auto"/>
          <w:sz w:val="32"/>
          <w:szCs w:val="32"/>
          <w:highlight w:val="none"/>
          <w:lang w:val="en-US" w:eastAsia="zh-CN"/>
        </w:rPr>
      </w:pPr>
      <w:r>
        <w:rPr>
          <w:rFonts w:hint="eastAsia" w:ascii="CESI仿宋-GB2312" w:hAnsi="CESI仿宋-GB2312" w:eastAsia="CESI仿宋-GB2312" w:cs="CESI仿宋-GB2312"/>
          <w:b/>
          <w:bCs/>
          <w:color w:val="auto"/>
          <w:sz w:val="32"/>
          <w:szCs w:val="32"/>
          <w:highlight w:val="none"/>
          <w:u w:val="none"/>
          <w:lang w:val="en-US" w:eastAsia="zh-CN"/>
        </w:rPr>
        <w:t>24.深化企业对接合作。</w:t>
      </w:r>
      <w:r>
        <w:rPr>
          <w:rFonts w:hint="eastAsia" w:ascii="CESI仿宋-GB2312" w:hAnsi="CESI仿宋-GB2312" w:eastAsia="CESI仿宋-GB2312" w:cs="CESI仿宋-GB2312"/>
          <w:color w:val="auto"/>
          <w:sz w:val="32"/>
          <w:szCs w:val="32"/>
          <w:highlight w:val="none"/>
          <w:lang w:val="en-US" w:eastAsia="zh-CN"/>
        </w:rPr>
        <w:t>推动驻沈央企与民营企业对接合作，鼓励民营企业参与驻沈央企的配套部件研发生产。</w:t>
      </w:r>
      <w:r>
        <w:rPr>
          <w:rFonts w:hint="eastAsia" w:ascii="CESI仿宋-GB2312" w:hAnsi="CESI仿宋-GB2312" w:eastAsia="CESI仿宋-GB2312" w:cs="CESI仿宋-GB2312"/>
          <w:b w:val="0"/>
          <w:bCs w:val="0"/>
          <w:color w:val="auto"/>
          <w:sz w:val="32"/>
          <w:szCs w:val="32"/>
          <w:highlight w:val="none"/>
          <w:u w:val="none" w:color="auto"/>
          <w:lang w:val="en-US" w:eastAsia="zh-CN"/>
        </w:rPr>
        <w:t>推动企企互动、开展产销对接，促进企业增效和发展。依托中小企业公共服务示范平台、中小微企业创新创业示范基地开展10次以上产销对接活动。深化区县与商会间的沟通交流，开展走进区县活动不少于3次。</w:t>
      </w:r>
      <w:r>
        <w:rPr>
          <w:rFonts w:hint="eastAsia" w:ascii="方正黑体_GBK" w:hAnsi="方正黑体_GBK" w:eastAsia="方正黑体_GBK" w:cs="方正黑体_GBK"/>
          <w:color w:val="auto"/>
          <w:sz w:val="32"/>
          <w:szCs w:val="32"/>
          <w:highlight w:val="none"/>
          <w:lang w:val="en-US" w:eastAsia="zh-CN"/>
        </w:rPr>
        <w:t>（责任单位：市委统战部、市国资委、市工业和信息化局、市工商联）</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CESI仿宋-GB2312" w:hAnsi="CESI仿宋-GB2312" w:eastAsia="CESI仿宋-GB2312" w:cs="CESI仿宋-GB2312"/>
          <w:i w:val="0"/>
          <w:caps w:val="0"/>
          <w:color w:val="auto"/>
          <w:spacing w:val="0"/>
          <w:kern w:val="0"/>
          <w:sz w:val="32"/>
          <w:szCs w:val="32"/>
          <w:highlight w:val="none"/>
          <w:shd w:val="clear" w:color="auto" w:fill="FFFFFF"/>
          <w:lang w:val="en-US" w:eastAsia="zh-CN" w:bidi="ar"/>
        </w:rPr>
      </w:pPr>
      <w:r>
        <w:rPr>
          <w:rFonts w:hint="eastAsia" w:ascii="CESI仿宋-GB2312" w:hAnsi="CESI仿宋-GB2312" w:eastAsia="CESI仿宋-GB2312" w:cs="CESI仿宋-GB2312"/>
          <w:b/>
          <w:bCs/>
          <w:color w:val="auto"/>
          <w:sz w:val="32"/>
          <w:szCs w:val="32"/>
          <w:highlight w:val="none"/>
          <w:u w:val="none"/>
          <w:lang w:val="en-US" w:eastAsia="zh-CN"/>
        </w:rPr>
        <w:t>25.引导民营企业加强标准化建设。</w:t>
      </w:r>
      <w:r>
        <w:rPr>
          <w:rFonts w:hint="eastAsia" w:ascii="CESI仿宋-GB2312" w:hAnsi="CESI仿宋-GB2312" w:eastAsia="CESI仿宋-GB2312" w:cs="CESI仿宋-GB2312"/>
          <w:color w:val="auto"/>
          <w:sz w:val="32"/>
          <w:szCs w:val="32"/>
          <w:highlight w:val="none"/>
          <w:lang w:eastAsia="zh-CN"/>
        </w:rPr>
        <w:t>推动落实标准自我声明公开制度，开展自我声明公开团体标准、企业标准监督检查。引导企业参加标准化试点示范项目建设及对标达标、标准化良好行为创建、企业标准领跑者等标准化活动。鼓励民营企业按有关规定将拥有自主知识产权的关键技术转化为企业标准或团体标准，促进技术创新、标准研制和产业化协调发展。完成企业标准监督检查110项、团体标准监督检查10项、企业标准对标达标10项。</w:t>
      </w:r>
      <w:r>
        <w:rPr>
          <w:rFonts w:hint="eastAsia" w:ascii="方正黑体_GBK" w:hAnsi="方正黑体_GBK" w:eastAsia="方正黑体_GBK" w:cs="方正黑体_GBK"/>
          <w:color w:val="auto"/>
          <w:sz w:val="32"/>
          <w:szCs w:val="32"/>
          <w:highlight w:val="none"/>
          <w:lang w:val="en-US" w:eastAsia="zh-CN"/>
        </w:rPr>
        <w:t>〔</w:t>
      </w:r>
      <w:r>
        <w:rPr>
          <w:rFonts w:hint="eastAsia" w:ascii="方正黑体_GBK" w:hAnsi="方正黑体_GBK" w:eastAsia="方正黑体_GBK" w:cs="方正黑体_GBK"/>
          <w:i w:val="0"/>
          <w:caps w:val="0"/>
          <w:color w:val="auto"/>
          <w:spacing w:val="0"/>
          <w:kern w:val="0"/>
          <w:sz w:val="32"/>
          <w:szCs w:val="32"/>
          <w:highlight w:val="none"/>
          <w:shd w:val="clear" w:color="auto" w:fill="FFFFFF"/>
          <w:lang w:val="en-US" w:eastAsia="zh-CN" w:bidi="ar"/>
        </w:rPr>
        <w:t>责任单位：</w:t>
      </w:r>
      <w:r>
        <w:rPr>
          <w:rFonts w:hint="eastAsia" w:ascii="方正黑体_GBK" w:hAnsi="方正黑体_GBK" w:eastAsia="方正黑体_GBK" w:cs="方正黑体_GBK"/>
          <w:color w:val="auto"/>
          <w:sz w:val="32"/>
          <w:szCs w:val="32"/>
          <w:highlight w:val="none"/>
          <w:lang w:eastAsia="zh-CN"/>
        </w:rPr>
        <w:t>市市场监管局</w:t>
      </w:r>
      <w:r>
        <w:rPr>
          <w:rFonts w:hint="eastAsia" w:ascii="方正黑体_GBK" w:hAnsi="方正黑体_GBK" w:eastAsia="方正黑体_GBK" w:cs="方正黑体_GBK"/>
          <w:i w:val="0"/>
          <w:caps w:val="0"/>
          <w:color w:val="auto"/>
          <w:spacing w:val="0"/>
          <w:kern w:val="0"/>
          <w:sz w:val="32"/>
          <w:szCs w:val="32"/>
          <w:highlight w:val="none"/>
          <w:shd w:val="clear" w:color="auto" w:fill="FFFFFF"/>
          <w:lang w:val="en-US" w:eastAsia="zh-CN" w:bidi="ar"/>
        </w:rPr>
        <w:t>，各区县（市）政府</w:t>
      </w:r>
      <w:r>
        <w:rPr>
          <w:rFonts w:hint="eastAsia" w:ascii="方正黑体_GBK" w:hAnsi="方正黑体_GBK" w:eastAsia="方正黑体_GBK" w:cs="方正黑体_GBK"/>
          <w:color w:val="auto"/>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CESI楷体-GB2312" w:hAnsi="CESI楷体-GB2312" w:eastAsia="CESI楷体-GB2312" w:cs="CESI楷体-GB2312"/>
          <w:b w:val="0"/>
          <w:bCs w:val="0"/>
          <w:color w:val="auto"/>
          <w:sz w:val="32"/>
          <w:szCs w:val="32"/>
          <w:highlight w:val="none"/>
          <w:lang w:eastAsia="zh-CN"/>
        </w:rPr>
      </w:pPr>
      <w:r>
        <w:rPr>
          <w:rFonts w:hint="eastAsia" w:ascii="楷体" w:hAnsi="楷体" w:eastAsia="楷体" w:cs="楷体"/>
          <w:b w:val="0"/>
          <w:bCs w:val="0"/>
          <w:color w:val="auto"/>
          <w:sz w:val="32"/>
          <w:szCs w:val="32"/>
          <w:highlight w:val="none"/>
          <w:lang w:eastAsia="zh-CN"/>
        </w:rPr>
        <w:t>（七）开展优化发展环境专项行动</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CESI仿宋-GB2312" w:hAnsi="CESI仿宋-GB2312" w:eastAsia="CESI仿宋-GB2312" w:cs="CESI仿宋-GB2312"/>
          <w:i w:val="0"/>
          <w:caps w:val="0"/>
          <w:color w:val="auto"/>
          <w:spacing w:val="0"/>
          <w:kern w:val="0"/>
          <w:sz w:val="32"/>
          <w:szCs w:val="32"/>
          <w:highlight w:val="none"/>
          <w:shd w:val="clear" w:color="auto" w:fill="FFFFFF"/>
          <w:lang w:val="en-US" w:eastAsia="zh-CN" w:bidi="ar"/>
        </w:rPr>
      </w:pPr>
      <w:r>
        <w:rPr>
          <w:rFonts w:hint="default" w:ascii="CESI仿宋-GB2312" w:hAnsi="CESI仿宋-GB2312" w:eastAsia="CESI仿宋-GB2312" w:cs="CESI仿宋-GB2312"/>
          <w:b/>
          <w:bCs/>
          <w:color w:val="auto"/>
          <w:sz w:val="32"/>
          <w:szCs w:val="32"/>
          <w:highlight w:val="none"/>
          <w:u w:val="none"/>
          <w:lang w:val="en-US" w:eastAsia="zh-CN"/>
        </w:rPr>
        <w:t>2</w:t>
      </w:r>
      <w:r>
        <w:rPr>
          <w:rFonts w:hint="eastAsia" w:ascii="CESI仿宋-GB2312" w:hAnsi="CESI仿宋-GB2312" w:eastAsia="CESI仿宋-GB2312" w:cs="CESI仿宋-GB2312"/>
          <w:b/>
          <w:bCs/>
          <w:color w:val="auto"/>
          <w:sz w:val="32"/>
          <w:szCs w:val="32"/>
          <w:highlight w:val="none"/>
          <w:u w:val="none"/>
          <w:lang w:val="en-US" w:eastAsia="zh-CN"/>
        </w:rPr>
        <w:t>6.优化政策环境。</w:t>
      </w:r>
      <w:r>
        <w:rPr>
          <w:rFonts w:hint="eastAsia" w:ascii="CESI仿宋-GB2312" w:hAnsi="CESI仿宋-GB2312" w:eastAsia="CESI仿宋-GB2312" w:cs="CESI仿宋-GB2312"/>
          <w:b w:val="0"/>
          <w:bCs w:val="0"/>
          <w:color w:val="auto"/>
          <w:sz w:val="32"/>
          <w:szCs w:val="32"/>
          <w:highlight w:val="none"/>
          <w:u w:val="none" w:color="auto"/>
          <w:lang w:val="en-US" w:eastAsia="zh-CN"/>
        </w:rPr>
        <w:t>推进惠企强企政策“免申即享”“直达快享”工作。持续梳理各级各类惠企利民政策，分批次出台“免申即享”“直达快享”清单，及时公示，动态更新。完善系统保障，推动惠企政策网上申报、自动核验、线上审批、资金兑现全流程服务。压缩申报成本，依托共享交换平台、电子证照库等大数据资源，通过申报材料复用、信息共享、自动比对、信用审核路径，大幅压缩审核环节、要件、兑现时限、跑动次数等。听取企业意见，推动惠企政策优化完善，激发企业潜在活力。</w:t>
      </w:r>
      <w:r>
        <w:rPr>
          <w:rFonts w:hint="eastAsia" w:ascii="方正黑体_GBK" w:hAnsi="方正黑体_GBK" w:eastAsia="方正黑体_GBK" w:cs="方正黑体_GBK"/>
          <w:color w:val="auto"/>
          <w:sz w:val="32"/>
          <w:szCs w:val="32"/>
          <w:highlight w:val="none"/>
          <w:lang w:val="en-US" w:eastAsia="zh-CN"/>
        </w:rPr>
        <w:t>〔</w:t>
      </w:r>
      <w:r>
        <w:rPr>
          <w:rFonts w:hint="eastAsia" w:ascii="方正黑体_GBK" w:hAnsi="方正黑体_GBK" w:eastAsia="方正黑体_GBK" w:cs="方正黑体_GBK"/>
          <w:i w:val="0"/>
          <w:caps w:val="0"/>
          <w:color w:val="auto"/>
          <w:spacing w:val="0"/>
          <w:kern w:val="0"/>
          <w:sz w:val="32"/>
          <w:szCs w:val="32"/>
          <w:highlight w:val="none"/>
          <w:shd w:val="clear" w:color="auto" w:fill="FFFFFF"/>
          <w:lang w:val="en-US" w:eastAsia="zh-CN" w:bidi="ar"/>
        </w:rPr>
        <w:t>责任单位：市委统战部、市营商局等市直相关部门，各区县（市）政府</w:t>
      </w:r>
      <w:r>
        <w:rPr>
          <w:rFonts w:hint="eastAsia" w:ascii="方正黑体_GBK" w:hAnsi="方正黑体_GBK" w:eastAsia="方正黑体_GBK" w:cs="方正黑体_GBK"/>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方正黑体_GBK" w:hAnsi="方正黑体_GBK" w:eastAsia="方正黑体_GBK" w:cs="方正黑体_GBK"/>
          <w:i w:val="0"/>
          <w:caps w:val="0"/>
          <w:color w:val="auto"/>
          <w:spacing w:val="0"/>
          <w:kern w:val="0"/>
          <w:sz w:val="32"/>
          <w:szCs w:val="32"/>
          <w:highlight w:val="none"/>
          <w:shd w:val="clear" w:color="auto" w:fill="FFFFFF"/>
          <w:lang w:val="en-US" w:eastAsia="zh-CN" w:bidi="ar"/>
        </w:rPr>
      </w:pPr>
      <w:r>
        <w:rPr>
          <w:rFonts w:hint="eastAsia" w:ascii="CESI仿宋-GB2312" w:hAnsi="CESI仿宋-GB2312" w:eastAsia="CESI仿宋-GB2312" w:cs="CESI仿宋-GB2312"/>
          <w:b/>
          <w:bCs/>
          <w:color w:val="auto"/>
          <w:sz w:val="32"/>
          <w:szCs w:val="32"/>
          <w:highlight w:val="none"/>
          <w:u w:val="none"/>
          <w:lang w:val="en-US" w:eastAsia="zh-CN"/>
        </w:rPr>
        <w:t>27.优化政务环境。</w:t>
      </w:r>
      <w:r>
        <w:rPr>
          <w:rFonts w:hint="eastAsia" w:ascii="CESI仿宋-GB2312" w:hAnsi="CESI仿宋-GB2312" w:eastAsia="CESI仿宋-GB2312" w:cs="CESI仿宋-GB2312"/>
          <w:b w:val="0"/>
          <w:bCs w:val="0"/>
          <w:color w:val="auto"/>
          <w:sz w:val="32"/>
          <w:szCs w:val="32"/>
          <w:highlight w:val="none"/>
          <w:u w:val="none" w:color="auto"/>
          <w:lang w:val="en-US" w:eastAsia="zh-CN"/>
        </w:rPr>
        <w:t>通过信息化手段强化企业管家在线服务功能，提供全方位、全生命周期的点对点服务。持续优化“都市圈通办”政务服务事项</w:t>
      </w:r>
      <w:r>
        <w:rPr>
          <w:rFonts w:hint="eastAsia" w:ascii="CESI仿宋-GB2312" w:hAnsi="CESI仿宋-GB2312" w:eastAsia="CESI仿宋-GB2312" w:cs="CESI仿宋-GB2312"/>
          <w:b w:val="0"/>
          <w:bCs w:val="0"/>
          <w:strike w:val="0"/>
          <w:dstrike w:val="0"/>
          <w:color w:val="auto"/>
          <w:sz w:val="32"/>
          <w:szCs w:val="32"/>
          <w:highlight w:val="none"/>
          <w:u w:val="none" w:color="auto"/>
          <w:lang w:val="en-US" w:eastAsia="zh-CN"/>
        </w:rPr>
        <w:t>，扩大通办事项范围至200项，实现市、县、乡三级“综合窗口”全覆盖。</w:t>
      </w:r>
      <w:r>
        <w:rPr>
          <w:rFonts w:hint="eastAsia" w:ascii="CESI仿宋-GB2312" w:hAnsi="CESI仿宋-GB2312" w:eastAsia="CESI仿宋-GB2312" w:cs="CESI仿宋-GB2312"/>
          <w:b w:val="0"/>
          <w:bCs w:val="0"/>
          <w:color w:val="auto"/>
          <w:sz w:val="32"/>
          <w:szCs w:val="32"/>
          <w:highlight w:val="none"/>
          <w:u w:val="none" w:color="auto"/>
          <w:lang w:val="en-US" w:eastAsia="zh-CN"/>
        </w:rPr>
        <w:t>深化综合窗口改革，实现无差别、分领域、功能性等综合窗口运行，政务服务好评率95%以上。全面深化“只提交一次材料”改革，新增15项“跨部门”一件事服务场景和50项“零材料”申报服务场景，95%申请材料实现“只提交一次”或免于提交。</w:t>
      </w:r>
      <w:r>
        <w:rPr>
          <w:rFonts w:hint="eastAsia" w:ascii="方正黑体_GBK" w:hAnsi="方正黑体_GBK" w:eastAsia="方正黑体_GBK" w:cs="方正黑体_GBK"/>
          <w:i w:val="0"/>
          <w:caps w:val="0"/>
          <w:color w:val="auto"/>
          <w:spacing w:val="0"/>
          <w:kern w:val="0"/>
          <w:sz w:val="32"/>
          <w:szCs w:val="32"/>
          <w:highlight w:val="none"/>
          <w:shd w:val="clear" w:color="auto" w:fill="FFFFFF"/>
          <w:lang w:val="en-US" w:eastAsia="zh-CN" w:bidi="ar"/>
        </w:rPr>
        <w:t>（责任单位：市营商局）</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color w:val="auto"/>
          <w:highlight w:val="none"/>
          <w:lang w:val="en-US" w:eastAsia="zh-CN"/>
        </w:rPr>
      </w:pPr>
      <w:r>
        <w:rPr>
          <w:rFonts w:hint="eastAsia" w:ascii="CESI仿宋-GB2312" w:hAnsi="CESI仿宋-GB2312" w:eastAsia="CESI仿宋-GB2312" w:cs="CESI仿宋-GB2312"/>
          <w:b/>
          <w:bCs/>
          <w:color w:val="auto"/>
          <w:sz w:val="32"/>
          <w:szCs w:val="32"/>
          <w:highlight w:val="none"/>
          <w:u w:val="none"/>
          <w:lang w:val="en-US" w:eastAsia="zh-CN"/>
        </w:rPr>
        <w:t>28.优化市场环境。</w:t>
      </w:r>
      <w:r>
        <w:rPr>
          <w:rFonts w:hint="eastAsia" w:ascii="CESI仿宋-GB2312" w:hAnsi="CESI仿宋-GB2312" w:eastAsia="CESI仿宋-GB2312" w:cs="CESI仿宋-GB2312"/>
          <w:b w:val="0"/>
          <w:bCs w:val="0"/>
          <w:color w:val="auto"/>
          <w:sz w:val="32"/>
          <w:szCs w:val="32"/>
          <w:highlight w:val="none"/>
          <w:u w:val="none" w:color="auto"/>
          <w:lang w:val="en-US" w:eastAsia="zh-CN"/>
        </w:rPr>
        <w:t>依托辽宁省“互联网+监管”平台，各级监管部门动态更新“一单两库”，制定抽查检查任务，推动部门联合检查与日常抽查检查相结合，实现部门联合检查常态化。完善建立企业信用修复机制，通过“信用中国（辽宁沈阳）”网站公示企业行政处罚信息，推动实施企业信用修复主动告知工作，指导帮助企业及时进行信用修复。</w:t>
      </w:r>
      <w:r>
        <w:rPr>
          <w:rFonts w:hint="eastAsia" w:ascii="方正黑体_GBK" w:hAnsi="方正黑体_GBK" w:eastAsia="方正黑体_GBK" w:cs="方正黑体_GBK"/>
          <w:i w:val="0"/>
          <w:caps w:val="0"/>
          <w:color w:val="auto"/>
          <w:spacing w:val="0"/>
          <w:kern w:val="0"/>
          <w:sz w:val="32"/>
          <w:szCs w:val="32"/>
          <w:highlight w:val="none"/>
          <w:shd w:val="clear" w:color="auto" w:fill="FFFFFF"/>
          <w:lang w:val="en-US" w:eastAsia="zh-CN" w:bidi="ar"/>
        </w:rPr>
        <w:t>（责任单位：市发展改革委、市市场监管局）</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方正黑体_GBK" w:hAnsi="方正黑体_GBK" w:eastAsia="方正黑体_GBK" w:cs="方正黑体_GBK"/>
          <w:color w:val="auto"/>
          <w:sz w:val="32"/>
          <w:szCs w:val="32"/>
          <w:highlight w:val="none"/>
          <w:lang w:eastAsia="zh-CN"/>
        </w:rPr>
      </w:pPr>
      <w:r>
        <w:rPr>
          <w:rFonts w:hint="eastAsia" w:ascii="CESI仿宋-GB2312" w:hAnsi="CESI仿宋-GB2312" w:eastAsia="CESI仿宋-GB2312" w:cs="CESI仿宋-GB2312"/>
          <w:b/>
          <w:bCs/>
          <w:color w:val="auto"/>
          <w:sz w:val="32"/>
          <w:szCs w:val="32"/>
          <w:highlight w:val="none"/>
          <w:u w:val="none"/>
          <w:lang w:val="en-US" w:eastAsia="zh-CN"/>
        </w:rPr>
        <w:t>29.优化法治环境。</w:t>
      </w:r>
      <w:r>
        <w:rPr>
          <w:rFonts w:hint="eastAsia" w:ascii="CESI仿宋-GB2312" w:hAnsi="CESI仿宋-GB2312" w:eastAsia="CESI仿宋-GB2312" w:cs="CESI仿宋-GB2312"/>
          <w:b w:val="0"/>
          <w:bCs w:val="0"/>
          <w:color w:val="auto"/>
          <w:sz w:val="32"/>
          <w:szCs w:val="32"/>
          <w:highlight w:val="none"/>
          <w:u w:val="none" w:color="auto"/>
          <w:lang w:val="en-US" w:eastAsia="zh-CN"/>
        </w:rPr>
        <w:t>开展“进商会、进企业、进项目”专项法治护航行动，深入100家企业提供优质的法律服务。通过组织编制涉企行政检查计划、开展案卷评查、开展严格规范公正文明执法专项检查等方式，有效促进行政执法规范化。以保护企业及其经营者合法权益为核心目标，以合同诈骗、职务侵占、挪用资金及串通投标、商业贿赂等犯罪为打击重点，做到报案必受理、够案必立案、立案必侦破、破案必查处“四个必须”和受理、立案、侦破和追赃“四个及时”。持续开展防范和化解拖欠中小企业账款专项行动，推动投诉问题限期办结，切实维护中小企业合法权益。</w:t>
      </w:r>
      <w:r>
        <w:rPr>
          <w:rFonts w:hint="eastAsia" w:ascii="方正黑体_GBK" w:hAnsi="方正黑体_GBK" w:eastAsia="方正黑体_GBK" w:cs="方正黑体_GBK"/>
          <w:i w:val="0"/>
          <w:caps w:val="0"/>
          <w:color w:val="auto"/>
          <w:spacing w:val="0"/>
          <w:kern w:val="0"/>
          <w:sz w:val="32"/>
          <w:szCs w:val="32"/>
          <w:highlight w:val="none"/>
          <w:shd w:val="clear" w:color="auto" w:fill="FFFFFF"/>
          <w:lang w:val="en-US" w:eastAsia="zh-CN" w:bidi="ar"/>
        </w:rPr>
        <w:t>（责任单位：市司法局、市公安局、市工业和信息化局）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color w:val="auto"/>
          <w:sz w:val="32"/>
          <w:szCs w:val="32"/>
          <w:highlight w:val="none"/>
          <w:lang w:eastAsia="zh-CN"/>
        </w:rPr>
      </w:pPr>
      <w:r>
        <w:rPr>
          <w:rFonts w:hint="eastAsia" w:ascii="黑体" w:hAnsi="黑体" w:eastAsia="黑体"/>
          <w:sz w:val="32"/>
          <w:szCs w:val="32"/>
          <w:highlight w:val="none"/>
          <w:lang w:eastAsia="zh-CN"/>
        </w:rPr>
        <w:t>三、</w:t>
      </w:r>
      <w:r>
        <w:rPr>
          <w:rFonts w:hint="eastAsia" w:ascii="方正黑体_GBK" w:hAnsi="方正黑体_GBK" w:eastAsia="方正黑体_GBK" w:cs="方正黑体_GBK"/>
          <w:color w:val="auto"/>
          <w:sz w:val="32"/>
          <w:szCs w:val="32"/>
          <w:highlight w:val="none"/>
          <w:lang w:eastAsia="zh-CN"/>
        </w:rPr>
        <w:t>保障措施</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CESI仿宋-GB2312" w:hAnsi="CESI仿宋-GB2312" w:eastAsia="CESI仿宋-GB2312" w:cs="CESI仿宋-GB2312"/>
          <w:i w:val="0"/>
          <w:caps w:val="0"/>
          <w:color w:val="auto"/>
          <w:spacing w:val="0"/>
          <w:kern w:val="0"/>
          <w:sz w:val="32"/>
          <w:szCs w:val="32"/>
          <w:highlight w:val="none"/>
          <w:shd w:val="clear" w:color="auto" w:fill="FFFFFF"/>
          <w:lang w:val="en-US" w:eastAsia="zh-CN" w:bidi="ar"/>
        </w:rPr>
      </w:pPr>
      <w:r>
        <w:rPr>
          <w:rFonts w:hint="eastAsia" w:ascii="楷体" w:hAnsi="楷体" w:eastAsia="楷体" w:cs="楷体"/>
          <w:b w:val="0"/>
          <w:bCs w:val="0"/>
          <w:color w:val="auto"/>
          <w:sz w:val="32"/>
          <w:szCs w:val="32"/>
          <w:highlight w:val="none"/>
          <w:lang w:eastAsia="zh-CN"/>
        </w:rPr>
        <w:t>（一）加强组织领导。</w:t>
      </w:r>
      <w:r>
        <w:rPr>
          <w:rFonts w:hint="eastAsia" w:ascii="CESI仿宋-GB2312" w:hAnsi="CESI仿宋-GB2312" w:eastAsia="CESI仿宋-GB2312" w:cs="CESI仿宋-GB2312"/>
          <w:i w:val="0"/>
          <w:caps w:val="0"/>
          <w:color w:val="auto"/>
          <w:spacing w:val="0"/>
          <w:kern w:val="0"/>
          <w:sz w:val="32"/>
          <w:szCs w:val="32"/>
          <w:highlight w:val="none"/>
          <w:shd w:val="clear" w:color="auto" w:fill="FFFFFF"/>
          <w:lang w:val="en-US" w:eastAsia="zh-CN" w:bidi="ar"/>
        </w:rPr>
        <w:t>各责任单位要切实提高执行力，完善机制，压实责任，狠抓落实。充分发挥市、区县（市）两级促进民营经济和中小企业发展领导小组及其办公室作用，确保如期保质完成各项任务</w:t>
      </w:r>
      <w:r>
        <w:rPr>
          <w:rFonts w:hint="default" w:ascii="CESI仿宋-GB2312" w:hAnsi="CESI仿宋-GB2312" w:eastAsia="CESI仿宋-GB2312" w:cs="CESI仿宋-GB2312"/>
          <w:i w:val="0"/>
          <w:caps w:val="0"/>
          <w:color w:val="auto"/>
          <w:spacing w:val="0"/>
          <w:kern w:val="0"/>
          <w:sz w:val="32"/>
          <w:szCs w:val="32"/>
          <w:highlight w:val="none"/>
          <w:shd w:val="clear" w:color="auto" w:fill="FFFFFF"/>
          <w:lang w:val="en-US" w:eastAsia="zh-CN" w:bidi="ar"/>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color w:val="auto"/>
          <w:sz w:val="32"/>
          <w:szCs w:val="32"/>
          <w:highlight w:val="none"/>
          <w:lang w:eastAsia="zh-CN"/>
        </w:rPr>
      </w:pPr>
      <w:r>
        <w:rPr>
          <w:rFonts w:hint="eastAsia" w:ascii="楷体" w:hAnsi="楷体" w:eastAsia="楷体" w:cs="楷体"/>
          <w:b w:val="0"/>
          <w:bCs w:val="0"/>
          <w:color w:val="auto"/>
          <w:sz w:val="32"/>
          <w:szCs w:val="32"/>
          <w:highlight w:val="none"/>
          <w:lang w:eastAsia="zh-CN"/>
        </w:rPr>
        <w:t>（二）加大保障力度。</w:t>
      </w:r>
      <w:r>
        <w:rPr>
          <w:rFonts w:hint="default" w:ascii="CESI仿宋-GB2312" w:hAnsi="CESI仿宋-GB2312" w:eastAsia="CESI仿宋-GB2312" w:cs="CESI仿宋-GB2312"/>
          <w:i w:val="0"/>
          <w:caps w:val="0"/>
          <w:color w:val="auto"/>
          <w:spacing w:val="0"/>
          <w:kern w:val="0"/>
          <w:sz w:val="32"/>
          <w:szCs w:val="32"/>
          <w:highlight w:val="none"/>
          <w:shd w:val="clear" w:color="auto" w:fill="FFFFFF"/>
          <w:lang w:val="en-US" w:eastAsia="zh-CN" w:bidi="ar"/>
        </w:rPr>
        <w:t>规范、安全、高效使用好</w:t>
      </w:r>
      <w:r>
        <w:rPr>
          <w:rFonts w:hint="eastAsia" w:ascii="CESI仿宋-GB2312" w:hAnsi="CESI仿宋-GB2312" w:eastAsia="CESI仿宋-GB2312" w:cs="CESI仿宋-GB2312"/>
          <w:i w:val="0"/>
          <w:caps w:val="0"/>
          <w:color w:val="auto"/>
          <w:spacing w:val="0"/>
          <w:kern w:val="0"/>
          <w:sz w:val="32"/>
          <w:szCs w:val="32"/>
          <w:highlight w:val="none"/>
          <w:shd w:val="clear" w:color="auto" w:fill="FFFFFF"/>
          <w:lang w:val="en-US" w:eastAsia="zh-CN" w:bidi="ar"/>
        </w:rPr>
        <w:t>市级</w:t>
      </w:r>
      <w:r>
        <w:rPr>
          <w:rFonts w:hint="default" w:ascii="CESI仿宋-GB2312" w:hAnsi="CESI仿宋-GB2312" w:eastAsia="CESI仿宋-GB2312" w:cs="CESI仿宋-GB2312"/>
          <w:i w:val="0"/>
          <w:caps w:val="0"/>
          <w:color w:val="auto"/>
          <w:spacing w:val="0"/>
          <w:kern w:val="0"/>
          <w:sz w:val="32"/>
          <w:szCs w:val="32"/>
          <w:highlight w:val="none"/>
          <w:shd w:val="clear" w:color="auto" w:fill="FFFFFF"/>
          <w:lang w:val="en-US" w:eastAsia="zh-CN" w:bidi="ar"/>
        </w:rPr>
        <w:t>中小企业发展专项资金，</w:t>
      </w:r>
      <w:r>
        <w:rPr>
          <w:rFonts w:hint="eastAsia" w:ascii="CESI仿宋-GB2312" w:hAnsi="CESI仿宋-GB2312" w:eastAsia="CESI仿宋-GB2312" w:cs="CESI仿宋-GB2312"/>
          <w:i w:val="0"/>
          <w:caps w:val="0"/>
          <w:color w:val="auto"/>
          <w:spacing w:val="0"/>
          <w:kern w:val="0"/>
          <w:sz w:val="32"/>
          <w:szCs w:val="32"/>
          <w:highlight w:val="none"/>
          <w:shd w:val="clear" w:color="auto" w:fill="FFFFFF"/>
          <w:lang w:val="en-US" w:eastAsia="zh-CN" w:bidi="ar"/>
        </w:rPr>
        <w:t>鼓励有条件的地区设立中小企业发展专项扶持资金。吸引社会资本参与建立政府投资基金，加大政府投资基金对民营企业的支持力度。严格落实国家税收优惠政策，贯彻落实好国家及省出台的各项社会保险费优惠政策，切实减轻企业税费负担。</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i w:val="0"/>
          <w:caps w:val="0"/>
          <w:color w:val="auto"/>
          <w:spacing w:val="0"/>
          <w:kern w:val="0"/>
          <w:sz w:val="32"/>
          <w:szCs w:val="32"/>
          <w:highlight w:val="none"/>
          <w:shd w:val="clear" w:color="auto" w:fill="FFFFFF"/>
          <w:lang w:val="en-US" w:eastAsia="zh-CN" w:bidi="ar"/>
        </w:rPr>
      </w:pPr>
      <w:r>
        <w:rPr>
          <w:rFonts w:hint="eastAsia" w:ascii="楷体" w:hAnsi="楷体" w:eastAsia="楷体" w:cs="楷体"/>
          <w:b w:val="0"/>
          <w:bCs w:val="0"/>
          <w:color w:val="auto"/>
          <w:sz w:val="32"/>
          <w:szCs w:val="32"/>
          <w:highlight w:val="none"/>
          <w:lang w:eastAsia="zh-CN"/>
        </w:rPr>
        <w:t>（三）浓厚发展氛围。</w:t>
      </w:r>
      <w:r>
        <w:rPr>
          <w:rFonts w:hint="eastAsia" w:ascii="CESI仿宋-GB2312" w:hAnsi="CESI仿宋-GB2312" w:eastAsia="CESI仿宋-GB2312" w:cs="CESI仿宋-GB2312"/>
          <w:i w:val="0"/>
          <w:caps w:val="0"/>
          <w:color w:val="auto"/>
          <w:spacing w:val="0"/>
          <w:kern w:val="0"/>
          <w:sz w:val="32"/>
          <w:szCs w:val="32"/>
          <w:highlight w:val="none"/>
          <w:shd w:val="clear" w:color="auto" w:fill="FFFFFF"/>
          <w:lang w:val="en-US" w:eastAsia="zh-CN" w:bidi="ar"/>
        </w:rPr>
        <w:t>大力宣传解读关于鼓励支持引导民营经济发展的政策措施，稳定和改善市场预期，提振民营企业发展信心。弘扬企业家精神，广泛宣传民营企业先进典型事迹，主动讲好民营企业和企业家故事，增强民营企业家自豪感和使命感，营造全社会关心和支持民营经济发展的良好氛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i w:val="0"/>
          <w:caps w:val="0"/>
          <w:color w:val="auto"/>
          <w:spacing w:val="0"/>
          <w:kern w:val="0"/>
          <w:sz w:val="32"/>
          <w:szCs w:val="32"/>
          <w:highlight w:val="none"/>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方正黑体_GBK" w:hAnsi="方正黑体_GBK" w:eastAsia="方正黑体_GBK" w:cs="方正黑体_GBK"/>
          <w:i w:val="0"/>
          <w:caps w:val="0"/>
          <w:color w:val="auto"/>
          <w:spacing w:val="0"/>
          <w:kern w:val="0"/>
          <w:sz w:val="32"/>
          <w:szCs w:val="32"/>
          <w:highlight w:val="none"/>
          <w:shd w:val="clear" w:color="auto" w:fill="FFFFFF"/>
          <w:lang w:val="en-US" w:eastAsia="zh-CN" w:bidi="ar"/>
        </w:rPr>
      </w:pPr>
      <w:r>
        <w:rPr>
          <w:rFonts w:hint="eastAsia" w:ascii="CESI仿宋-GB2312" w:hAnsi="CESI仿宋-GB2312" w:eastAsia="CESI仿宋-GB2312" w:cs="CESI仿宋-GB2312"/>
          <w:i w:val="0"/>
          <w:caps w:val="0"/>
          <w:color w:val="auto"/>
          <w:spacing w:val="0"/>
          <w:kern w:val="0"/>
          <w:sz w:val="32"/>
          <w:szCs w:val="32"/>
          <w:highlight w:val="none"/>
          <w:shd w:val="clear" w:color="auto" w:fill="FFFFFF"/>
          <w:lang w:val="en-US" w:eastAsia="zh-CN" w:bidi="ar"/>
        </w:rPr>
        <w:t>附件：沈阳市促进民营经济高质量发展政策措施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u w:val="none"/>
          <w:lang w:val="en-US" w:eastAsia="zh-CN"/>
        </w:rPr>
      </w:pPr>
    </w:p>
    <w:p>
      <w:pPr>
        <w:pStyle w:val="2"/>
        <w:rPr>
          <w:rFonts w:hint="eastAsia"/>
          <w:lang w:val="en-US" w:eastAsia="zh-CN"/>
        </w:rPr>
      </w:pPr>
    </w:p>
    <w:p>
      <w:pPr>
        <w:pStyle w:val="2"/>
        <w:rPr>
          <w:rFonts w:hint="eastAsia" w:ascii="仿宋" w:hAnsi="仿宋" w:eastAsia="仿宋" w:cs="仿宋"/>
          <w:color w:val="auto"/>
          <w:sz w:val="32"/>
          <w:szCs w:val="32"/>
          <w:highlight w:val="none"/>
          <w:u w:val="none"/>
          <w:lang w:val="en-US" w:eastAsia="zh-CN"/>
        </w:rPr>
      </w:pPr>
    </w:p>
    <w:p>
      <w:pPr>
        <w:rPr>
          <w:rFonts w:hint="eastAsia" w:ascii="仿宋" w:hAnsi="仿宋" w:eastAsia="仿宋" w:cs="仿宋"/>
          <w:color w:val="auto"/>
          <w:sz w:val="32"/>
          <w:szCs w:val="32"/>
          <w:highlight w:val="none"/>
          <w:u w:val="none"/>
          <w:lang w:val="en-US" w:eastAsia="zh-CN"/>
        </w:rPr>
      </w:pPr>
    </w:p>
    <w:p>
      <w:pPr>
        <w:pStyle w:val="2"/>
        <w:rPr>
          <w:rFonts w:hint="eastAsia" w:ascii="仿宋" w:hAnsi="仿宋" w:eastAsia="仿宋" w:cs="仿宋"/>
          <w:color w:val="auto"/>
          <w:sz w:val="32"/>
          <w:szCs w:val="32"/>
          <w:highlight w:val="none"/>
          <w:u w:val="none"/>
          <w:lang w:val="en-US" w:eastAsia="zh-CN"/>
        </w:rPr>
      </w:pPr>
    </w:p>
    <w:p>
      <w:pPr>
        <w:rPr>
          <w:rFonts w:hint="eastAsia" w:ascii="仿宋" w:hAnsi="仿宋" w:eastAsia="仿宋" w:cs="仿宋"/>
          <w:color w:val="auto"/>
          <w:sz w:val="32"/>
          <w:szCs w:val="32"/>
          <w:highlight w:val="none"/>
          <w:u w:val="none"/>
          <w:lang w:val="en-US" w:eastAsia="zh-CN"/>
        </w:rPr>
      </w:pPr>
    </w:p>
    <w:p>
      <w:pPr>
        <w:pStyle w:val="2"/>
        <w:rPr>
          <w:rFonts w:hint="eastAsia" w:ascii="仿宋" w:hAnsi="仿宋" w:eastAsia="仿宋" w:cs="仿宋"/>
          <w:color w:val="auto"/>
          <w:sz w:val="32"/>
          <w:szCs w:val="32"/>
          <w:highlight w:val="none"/>
          <w:u w:val="none"/>
          <w:lang w:val="en-US" w:eastAsia="zh-CN"/>
        </w:rPr>
      </w:pPr>
    </w:p>
    <w:p>
      <w:pPr>
        <w:rPr>
          <w:rFonts w:hint="eastAsia" w:ascii="仿宋" w:hAnsi="仿宋" w:eastAsia="仿宋" w:cs="仿宋"/>
          <w:color w:val="auto"/>
          <w:sz w:val="32"/>
          <w:szCs w:val="32"/>
          <w:highlight w:val="none"/>
          <w:u w:val="none"/>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CESI黑体-GB2312" w:hAnsi="CESI黑体-GB2312" w:eastAsia="CESI黑体-GB2312" w:cs="CESI黑体-GB2312"/>
          <w:i w:val="0"/>
          <w:caps w:val="0"/>
          <w:color w:val="auto"/>
          <w:spacing w:val="0"/>
          <w:kern w:val="0"/>
          <w:sz w:val="32"/>
          <w:szCs w:val="32"/>
          <w:highlight w:val="none"/>
          <w:shd w:val="clear" w:color="auto" w:fill="FFFFFF"/>
          <w:lang w:val="en-US" w:eastAsia="zh-CN" w:bidi="ar"/>
        </w:rPr>
      </w:pPr>
      <w:r>
        <w:rPr>
          <w:rFonts w:hint="eastAsia" w:ascii="CESI黑体-GB2312" w:hAnsi="CESI黑体-GB2312" w:eastAsia="CESI黑体-GB2312" w:cs="CESI黑体-GB2312"/>
          <w:i w:val="0"/>
          <w:caps w:val="0"/>
          <w:color w:val="auto"/>
          <w:spacing w:val="0"/>
          <w:kern w:val="0"/>
          <w:sz w:val="32"/>
          <w:szCs w:val="32"/>
          <w:highlight w:val="none"/>
          <w:shd w:val="clear" w:color="auto" w:fill="FFFFFF"/>
          <w:lang w:val="en-US" w:eastAsia="zh-CN" w:bidi="ar"/>
        </w:rPr>
        <w:t>附件</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CESI仿宋-GB2312" w:hAnsi="CESI仿宋-GB2312" w:eastAsia="CESI仿宋-GB2312" w:cs="CESI仿宋-GB2312"/>
          <w:i w:val="0"/>
          <w:caps w:val="0"/>
          <w:color w:val="auto"/>
          <w:spacing w:val="0"/>
          <w:kern w:val="0"/>
          <w:sz w:val="32"/>
          <w:szCs w:val="32"/>
          <w:highlight w:val="none"/>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CESI小标宋-GB2312" w:hAnsi="CESI小标宋-GB2312" w:eastAsia="CESI小标宋-GB2312" w:cs="CESI小标宋-GB2312"/>
          <w:sz w:val="44"/>
          <w:szCs w:val="44"/>
          <w:highlight w:val="none"/>
          <w:lang w:val="en-US" w:eastAsia="zh-CN"/>
        </w:rPr>
      </w:pPr>
      <w:r>
        <w:rPr>
          <w:rFonts w:hint="eastAsia" w:ascii="CESI小标宋-GB2312" w:hAnsi="CESI小标宋-GB2312" w:eastAsia="CESI小标宋-GB2312" w:cs="CESI小标宋-GB2312"/>
          <w:sz w:val="44"/>
          <w:szCs w:val="44"/>
          <w:highlight w:val="none"/>
          <w:lang w:val="en-US" w:eastAsia="zh-CN"/>
        </w:rPr>
        <w:t>沈阳市促进民营经济高质量发展政策措施</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val="0"/>
          <w:bCs w:val="0"/>
          <w:color w:val="auto"/>
          <w:sz w:val="32"/>
          <w:szCs w:val="32"/>
          <w:highlight w:val="none"/>
          <w:lang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val="0"/>
          <w:bCs w:val="0"/>
          <w:color w:val="auto"/>
          <w:sz w:val="32"/>
          <w:szCs w:val="32"/>
          <w:highlight w:val="none"/>
          <w:lang w:eastAsia="zh-CN"/>
        </w:rPr>
      </w:pPr>
      <w:r>
        <w:rPr>
          <w:rFonts w:hint="eastAsia" w:ascii="楷体" w:hAnsi="楷体" w:eastAsia="楷体" w:cs="楷体"/>
          <w:b w:val="0"/>
          <w:bCs w:val="0"/>
          <w:color w:val="auto"/>
          <w:sz w:val="32"/>
          <w:szCs w:val="32"/>
          <w:highlight w:val="none"/>
          <w:lang w:eastAsia="zh-CN"/>
        </w:rPr>
        <w:t>（一）着力解决民营企业融资难题</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方正黑体_GBK" w:hAnsi="方正黑体_GBK" w:eastAsia="方正黑体_GBK" w:cs="方正黑体_GBK"/>
          <w:color w:val="auto"/>
          <w:sz w:val="32"/>
          <w:szCs w:val="32"/>
          <w:highlight w:val="none"/>
          <w:lang w:val="en-US" w:eastAsia="zh-CN"/>
        </w:rPr>
      </w:pPr>
      <w:r>
        <w:rPr>
          <w:rFonts w:hint="eastAsia" w:ascii="CESI仿宋-GB2312" w:hAnsi="CESI仿宋-GB2312" w:eastAsia="CESI仿宋-GB2312" w:cs="CESI仿宋-GB2312"/>
          <w:b/>
          <w:bCs/>
          <w:color w:val="auto"/>
          <w:sz w:val="32"/>
          <w:szCs w:val="32"/>
          <w:highlight w:val="none"/>
          <w:u w:val="none" w:color="auto"/>
          <w:lang w:val="en-US" w:eastAsia="zh-CN"/>
        </w:rPr>
        <w:t>1.实施小微企业首次贷款贴息补贴。</w:t>
      </w:r>
      <w:r>
        <w:rPr>
          <w:rFonts w:hint="eastAsia" w:ascii="CESI仿宋-GB2312" w:hAnsi="CESI仿宋-GB2312" w:eastAsia="CESI仿宋-GB2312" w:cs="CESI仿宋-GB2312"/>
          <w:b w:val="0"/>
          <w:bCs w:val="0"/>
          <w:color w:val="auto"/>
          <w:sz w:val="32"/>
          <w:szCs w:val="32"/>
          <w:highlight w:val="none"/>
          <w:u w:val="none" w:color="auto"/>
          <w:lang w:val="en-US" w:eastAsia="zh-CN"/>
        </w:rPr>
        <w:t>对2024年从商业银行机构首次获得贷款的小微企业（单户额度1000万元以内，含个体工商户和小微企业主经营性贷款），给予贷款利率贴息至人民银行当期公布的1年期贷款市场报价利率（LPR）的70%，最高不超过2％的贴息补助。</w:t>
      </w:r>
      <w:r>
        <w:rPr>
          <w:rFonts w:hint="eastAsia" w:ascii="方正黑体_GBK" w:hAnsi="方正黑体_GBK" w:eastAsia="方正黑体_GBK" w:cs="方正黑体_GBK"/>
          <w:color w:val="auto"/>
          <w:sz w:val="32"/>
          <w:szCs w:val="32"/>
          <w:highlight w:val="none"/>
          <w:lang w:val="en-US" w:eastAsia="zh-CN"/>
        </w:rPr>
        <w:t>（责任单位：市金融发展局、人民银行辽宁省分行营业管理部）</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方正黑体_GBK" w:hAnsi="方正黑体_GBK" w:eastAsia="方正黑体_GBK" w:cs="方正黑体_GBK"/>
          <w:color w:val="auto"/>
          <w:sz w:val="32"/>
          <w:szCs w:val="32"/>
          <w:highlight w:val="none"/>
          <w:lang w:val="en-US" w:eastAsia="zh-CN"/>
        </w:rPr>
      </w:pPr>
      <w:r>
        <w:rPr>
          <w:rFonts w:hint="eastAsia" w:ascii="CESI仿宋-GB2312" w:hAnsi="CESI仿宋-GB2312" w:eastAsia="CESI仿宋-GB2312" w:cs="CESI仿宋-GB2312"/>
          <w:b/>
          <w:bCs/>
          <w:color w:val="auto"/>
          <w:sz w:val="32"/>
          <w:szCs w:val="32"/>
          <w:highlight w:val="none"/>
          <w:u w:val="none" w:color="auto"/>
          <w:lang w:val="en-US" w:eastAsia="zh-CN"/>
        </w:rPr>
        <w:t>2.鼓励地方法人银行支持民营企业融资。</w:t>
      </w:r>
      <w:r>
        <w:rPr>
          <w:rFonts w:hint="eastAsia" w:ascii="CESI仿宋-GB2312" w:hAnsi="CESI仿宋-GB2312" w:eastAsia="CESI仿宋-GB2312" w:cs="CESI仿宋-GB2312"/>
          <w:b w:val="0"/>
          <w:bCs w:val="0"/>
          <w:color w:val="auto"/>
          <w:sz w:val="32"/>
          <w:szCs w:val="32"/>
          <w:highlight w:val="none"/>
          <w:u w:val="none" w:color="auto"/>
          <w:lang w:val="en-US" w:eastAsia="zh-CN"/>
        </w:rPr>
        <w:t>用好300万元地方专项资金，对运用支农支小再贷款开展业务的地方法人银行按照再贷款合格业务规模占比给予奖励。（</w:t>
      </w:r>
      <w:r>
        <w:rPr>
          <w:rFonts w:hint="eastAsia" w:ascii="方正黑体_GBK" w:hAnsi="方正黑体_GBK" w:eastAsia="方正黑体_GBK" w:cs="方正黑体_GBK"/>
          <w:color w:val="auto"/>
          <w:sz w:val="32"/>
          <w:szCs w:val="32"/>
          <w:highlight w:val="none"/>
          <w:lang w:val="en-US" w:eastAsia="zh-CN"/>
        </w:rPr>
        <w:t>责任单位：市金融发展局、市财政局、人民银行辽宁省分行营业管理部）</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ascii="楷体_GB2312" w:eastAsia="楷体_GB2312"/>
          <w:color w:val="000000" w:themeColor="text1"/>
          <w:sz w:val="32"/>
          <w:szCs w:val="32"/>
          <w:highlight w:val="none"/>
          <w14:textFill>
            <w14:solidFill>
              <w14:schemeClr w14:val="tx1"/>
            </w14:solidFill>
          </w14:textFill>
        </w:rPr>
      </w:pPr>
      <w:r>
        <w:rPr>
          <w:rFonts w:hint="eastAsia" w:ascii="CESI仿宋-GB2312" w:hAnsi="CESI仿宋-GB2312" w:eastAsia="CESI仿宋-GB2312" w:cs="CESI仿宋-GB2312"/>
          <w:b/>
          <w:bCs/>
          <w:color w:val="auto"/>
          <w:sz w:val="32"/>
          <w:szCs w:val="32"/>
          <w:highlight w:val="none"/>
          <w:u w:val="none" w:color="auto"/>
          <w:lang w:val="en-US" w:eastAsia="zh-CN"/>
        </w:rPr>
        <w:t>3.加大政府基金投资中小微企业力度。</w:t>
      </w:r>
      <w:r>
        <w:rPr>
          <w:rFonts w:hint="eastAsia" w:ascii="CESI仿宋-GB2312" w:hAnsi="CESI仿宋-GB2312" w:eastAsia="CESI仿宋-GB2312" w:cs="CESI仿宋-GB2312"/>
          <w:b w:val="0"/>
          <w:bCs w:val="0"/>
          <w:color w:val="auto"/>
          <w:sz w:val="32"/>
          <w:szCs w:val="32"/>
          <w:highlight w:val="none"/>
          <w:u w:val="none" w:color="auto"/>
          <w:lang w:val="en-US" w:eastAsia="zh-CN"/>
        </w:rPr>
        <w:t>将沈阳市中小微企业成长支持基金规模扩大至2亿元，滚动投资，循环使用，对生产经营困难但成长预期良好的中小微企业、科创企业给予投资支持，简化投资评估等审批要件和流程，单户企业投资额不超过500万元，投资期限延长至不超过3年，投资成本参考人民银行当期公布的1年期贷款市场报价利率（LPR）。</w:t>
      </w:r>
      <w:r>
        <w:rPr>
          <w:rFonts w:hint="eastAsia" w:ascii="方正黑体_GBK" w:hAnsi="方正黑体_GBK" w:eastAsia="方正黑体_GBK" w:cs="方正黑体_GBK"/>
          <w:color w:val="auto"/>
          <w:sz w:val="32"/>
          <w:szCs w:val="32"/>
          <w:highlight w:val="none"/>
          <w:lang w:val="en-US" w:eastAsia="zh-CN"/>
        </w:rPr>
        <w:t>（责任单位：盛京金控集团、市财政局、市金融发展局）</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楷体" w:hAnsi="楷体" w:eastAsia="楷体" w:cs="楷体"/>
          <w:b w:val="0"/>
          <w:bCs w:val="0"/>
          <w:color w:val="auto"/>
          <w:sz w:val="32"/>
          <w:szCs w:val="32"/>
          <w:highlight w:val="none"/>
          <w:lang w:eastAsia="zh-CN"/>
        </w:rPr>
      </w:pPr>
      <w:r>
        <w:rPr>
          <w:rFonts w:hint="eastAsia" w:ascii="黑体" w:hAnsi="黑体" w:eastAsia="黑体"/>
          <w:sz w:val="32"/>
          <w:szCs w:val="32"/>
          <w:highlight w:val="none"/>
        </w:rPr>
        <w:t xml:space="preserve">   </w:t>
      </w:r>
      <w:r>
        <w:rPr>
          <w:rFonts w:hint="eastAsia" w:ascii="楷体" w:hAnsi="楷体" w:eastAsia="楷体" w:cs="楷体"/>
          <w:b w:val="0"/>
          <w:bCs w:val="0"/>
          <w:color w:val="auto"/>
          <w:sz w:val="32"/>
          <w:szCs w:val="32"/>
          <w:highlight w:val="none"/>
          <w:lang w:eastAsia="zh-CN"/>
        </w:rPr>
        <w:t xml:space="preserve"> （二）支持民营企业加快发展壮大</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方正黑体_GBK" w:hAnsi="方正黑体_GBK" w:eastAsia="方正黑体_GBK" w:cs="方正黑体_GBK"/>
          <w:color w:val="auto"/>
          <w:sz w:val="32"/>
          <w:szCs w:val="32"/>
          <w:highlight w:val="none"/>
          <w:lang w:val="en-US" w:eastAsia="zh-CN"/>
        </w:rPr>
      </w:pPr>
      <w:r>
        <w:rPr>
          <w:rFonts w:hint="eastAsia" w:ascii="CESI仿宋-GB2312" w:hAnsi="CESI仿宋-GB2312" w:eastAsia="CESI仿宋-GB2312" w:cs="CESI仿宋-GB2312"/>
          <w:b/>
          <w:bCs/>
          <w:color w:val="auto"/>
          <w:sz w:val="32"/>
          <w:szCs w:val="32"/>
          <w:highlight w:val="none"/>
          <w:u w:val="none" w:color="auto"/>
          <w:lang w:val="en-US" w:eastAsia="zh-CN"/>
        </w:rPr>
        <w:t>4.培育“名特优新”个体工商户。</w:t>
      </w:r>
      <w:r>
        <w:rPr>
          <w:rFonts w:hint="eastAsia" w:ascii="CESI仿宋-GB2312" w:hAnsi="CESI仿宋-GB2312" w:eastAsia="CESI仿宋-GB2312" w:cs="CESI仿宋-GB2312"/>
          <w:b w:val="0"/>
          <w:bCs w:val="0"/>
          <w:color w:val="auto"/>
          <w:sz w:val="32"/>
          <w:szCs w:val="32"/>
          <w:highlight w:val="none"/>
          <w:u w:val="none" w:color="auto"/>
          <w:lang w:val="en-US" w:eastAsia="zh-CN"/>
        </w:rPr>
        <w:t>建立全市“初创型”“成长型”“发展型”个体工商户数据库。按照“知名”“特色”“优质”“新兴”分类，选拔特色鲜明、发展潜力大的个体工商户。对经国家、省认定的“名特优新”个体工商户在赋牌宣传推介、信用评价增信、降低行政监管频次、加强产业政策扶持、给予社会荣誉等政策措施上予以支持。依托辽宁小微企业名录系统建立“名特优新”榜单，推进“名特优新”个体工商户数据与金融机构信息共享和协调服务，引导“名特优新”个体工商户转型升级为企业。</w:t>
      </w:r>
      <w:r>
        <w:rPr>
          <w:rFonts w:hint="eastAsia" w:ascii="方正黑体_GBK" w:hAnsi="方正黑体_GBK" w:eastAsia="方正黑体_GBK" w:cs="方正黑体_GBK"/>
          <w:color w:val="auto"/>
          <w:sz w:val="32"/>
          <w:szCs w:val="32"/>
          <w:highlight w:val="none"/>
          <w:lang w:val="en-US" w:eastAsia="zh-CN"/>
        </w:rPr>
        <w:t>（责任单位：市市场监管局）</w:t>
      </w:r>
    </w:p>
    <w:p>
      <w:pPr>
        <w:keepNext w:val="0"/>
        <w:keepLines w:val="0"/>
        <w:pageBreakBefore w:val="0"/>
        <w:kinsoku/>
        <w:wordWrap/>
        <w:overflowPunct/>
        <w:topLinePunct w:val="0"/>
        <w:autoSpaceDE/>
        <w:autoSpaceDN/>
        <w:bidi w:val="0"/>
        <w:adjustRightInd/>
        <w:snapToGrid/>
        <w:spacing w:line="600" w:lineRule="exact"/>
        <w:ind w:firstLine="642"/>
        <w:textAlignment w:val="auto"/>
        <w:rPr>
          <w:rFonts w:hint="eastAsia" w:ascii="方正黑体_GBK" w:hAnsi="方正黑体_GBK" w:eastAsia="方正黑体_GBK" w:cs="方正黑体_GBK"/>
          <w:color w:val="auto"/>
          <w:sz w:val="32"/>
          <w:szCs w:val="32"/>
          <w:highlight w:val="none"/>
          <w:lang w:val="en-US" w:eastAsia="zh-CN"/>
        </w:rPr>
      </w:pPr>
      <w:r>
        <w:rPr>
          <w:rFonts w:hint="eastAsia" w:ascii="CESI仿宋-GB2312" w:hAnsi="CESI仿宋-GB2312" w:eastAsia="CESI仿宋-GB2312" w:cs="CESI仿宋-GB2312"/>
          <w:b/>
          <w:bCs/>
          <w:color w:val="auto"/>
          <w:sz w:val="32"/>
          <w:szCs w:val="32"/>
          <w:highlight w:val="none"/>
          <w:u w:val="none" w:color="auto"/>
          <w:lang w:val="en-US" w:eastAsia="zh-CN"/>
        </w:rPr>
        <w:t>5.支持民营企业创新发展。</w:t>
      </w:r>
      <w:r>
        <w:rPr>
          <w:rFonts w:hint="eastAsia" w:ascii="CESI仿宋-GB2312" w:hAnsi="CESI仿宋-GB2312" w:eastAsia="CESI仿宋-GB2312" w:cs="CESI仿宋-GB2312"/>
          <w:b w:val="0"/>
          <w:bCs w:val="0"/>
          <w:color w:val="auto"/>
          <w:sz w:val="32"/>
          <w:szCs w:val="32"/>
          <w:highlight w:val="none"/>
          <w:u w:val="none" w:color="auto"/>
          <w:lang w:val="en-US" w:eastAsia="zh-CN"/>
        </w:rPr>
        <w:t>支持民营企业创建国家、省级创新平台。支持民营企业与驻沈高校、科研机构合作建立国家企业技术中心、省级工程研究中心等创新平台，依托国家、省级创新平台，开展关键核心技术攻关。</w:t>
      </w:r>
      <w:r>
        <w:rPr>
          <w:rFonts w:hint="eastAsia" w:ascii="方正黑体_GBK" w:hAnsi="方正黑体_GBK" w:eastAsia="方正黑体_GBK" w:cs="方正黑体_GBK"/>
          <w:color w:val="auto"/>
          <w:sz w:val="32"/>
          <w:szCs w:val="32"/>
          <w:highlight w:val="none"/>
          <w:lang w:val="en-US" w:eastAsia="zh-CN"/>
        </w:rPr>
        <w:t>（责任单位：市发展改革委）</w:t>
      </w:r>
    </w:p>
    <w:p>
      <w:pPr>
        <w:keepNext w:val="0"/>
        <w:keepLines w:val="0"/>
        <w:pageBreakBefore w:val="0"/>
        <w:kinsoku/>
        <w:wordWrap/>
        <w:overflowPunct/>
        <w:topLinePunct w:val="0"/>
        <w:autoSpaceDE/>
        <w:autoSpaceDN/>
        <w:bidi w:val="0"/>
        <w:adjustRightInd/>
        <w:snapToGrid/>
        <w:spacing w:line="600" w:lineRule="exact"/>
        <w:ind w:firstLine="642"/>
        <w:textAlignment w:val="auto"/>
        <w:rPr>
          <w:rFonts w:hint="eastAsia" w:ascii="方正黑体_GBK" w:hAnsi="方正黑体_GBK" w:eastAsia="方正黑体_GBK" w:cs="方正黑体_GBK"/>
          <w:color w:val="auto"/>
          <w:sz w:val="32"/>
          <w:szCs w:val="32"/>
          <w:highlight w:val="none"/>
          <w:lang w:val="en-US" w:eastAsia="zh-CN"/>
        </w:rPr>
      </w:pPr>
      <w:r>
        <w:rPr>
          <w:rFonts w:hint="eastAsia" w:ascii="CESI仿宋-GB2312" w:hAnsi="CESI仿宋-GB2312" w:eastAsia="CESI仿宋-GB2312" w:cs="CESI仿宋-GB2312"/>
          <w:b/>
          <w:bCs/>
          <w:color w:val="auto"/>
          <w:sz w:val="32"/>
          <w:szCs w:val="32"/>
          <w:highlight w:val="none"/>
          <w:u w:val="none" w:color="auto"/>
          <w:lang w:val="en-US" w:eastAsia="zh-CN"/>
        </w:rPr>
        <w:t>6.支持科技服务业企业成长。</w:t>
      </w:r>
      <w:r>
        <w:rPr>
          <w:rFonts w:hint="eastAsia" w:ascii="CESI仿宋-GB2312" w:hAnsi="CESI仿宋-GB2312" w:eastAsia="CESI仿宋-GB2312" w:cs="CESI仿宋-GB2312"/>
          <w:b w:val="0"/>
          <w:bCs w:val="0"/>
          <w:color w:val="auto"/>
          <w:sz w:val="32"/>
          <w:szCs w:val="32"/>
          <w:highlight w:val="none"/>
          <w:u w:val="none" w:color="auto"/>
          <w:lang w:val="en-US" w:eastAsia="zh-CN"/>
        </w:rPr>
        <w:t>对已达标入统且年度营业收入同比增速达到10%、20%的科技服务业企业，按照不超过当年营业收入额的2‰、3‰予以奖励，最高不超过20万元、30万元。</w:t>
      </w:r>
      <w:r>
        <w:rPr>
          <w:rFonts w:hint="eastAsia" w:ascii="方正黑体_GBK" w:hAnsi="方正黑体_GBK" w:eastAsia="方正黑体_GBK" w:cs="方正黑体_GBK"/>
          <w:color w:val="auto"/>
          <w:sz w:val="32"/>
          <w:szCs w:val="32"/>
          <w:highlight w:val="none"/>
          <w:lang w:val="en-US" w:eastAsia="zh-CN"/>
        </w:rPr>
        <w:t>（责任单位：市科技局）</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color w:val="auto"/>
          <w:sz w:val="32"/>
          <w:szCs w:val="32"/>
          <w:highlight w:val="none"/>
          <w:lang w:val="en-US" w:eastAsia="zh-CN"/>
        </w:rPr>
      </w:pPr>
      <w:r>
        <w:rPr>
          <w:rFonts w:hint="eastAsia" w:ascii="楷体_GB2312" w:eastAsia="楷体_GB2312"/>
          <w:b/>
          <w:sz w:val="32"/>
          <w:szCs w:val="32"/>
          <w:highlight w:val="none"/>
        </w:rPr>
        <w:t xml:space="preserve">   </w:t>
      </w:r>
      <w:r>
        <w:rPr>
          <w:rFonts w:hint="eastAsia" w:ascii="CESI仿宋-GB2312" w:hAnsi="CESI仿宋-GB2312" w:eastAsia="CESI仿宋-GB2312" w:cs="CESI仿宋-GB2312"/>
          <w:b/>
          <w:bCs/>
          <w:color w:val="auto"/>
          <w:sz w:val="32"/>
          <w:szCs w:val="32"/>
          <w:highlight w:val="none"/>
          <w:u w:val="none" w:color="auto"/>
          <w:lang w:val="en-US" w:eastAsia="zh-CN"/>
        </w:rPr>
        <w:t xml:space="preserve"> 7.鼓励金融机构支持科技型企业发展。</w:t>
      </w:r>
      <w:r>
        <w:rPr>
          <w:rFonts w:hint="eastAsia" w:ascii="CESI仿宋-GB2312" w:hAnsi="CESI仿宋-GB2312" w:eastAsia="CESI仿宋-GB2312" w:cs="CESI仿宋-GB2312"/>
          <w:b w:val="0"/>
          <w:bCs w:val="0"/>
          <w:color w:val="auto"/>
          <w:sz w:val="32"/>
          <w:szCs w:val="32"/>
          <w:highlight w:val="none"/>
          <w:u w:val="none" w:color="auto"/>
          <w:lang w:val="en-US" w:eastAsia="zh-CN"/>
        </w:rPr>
        <w:t>对为科技企业开展首台套保险和新材料保险业务的保险机构，按每家企业承保风险额度的0.5%给予保险机构奖励，单户机构每年奖励金额最高不超过30万元。</w:t>
      </w:r>
      <w:r>
        <w:rPr>
          <w:rFonts w:hint="eastAsia" w:ascii="方正黑体_GBK" w:hAnsi="方正黑体_GBK" w:eastAsia="方正黑体_GBK" w:cs="方正黑体_GBK"/>
          <w:color w:val="auto"/>
          <w:sz w:val="32"/>
          <w:szCs w:val="32"/>
          <w:highlight w:val="none"/>
          <w:lang w:val="en-US" w:eastAsia="zh-CN"/>
        </w:rPr>
        <w:t>（责任单位：市金融发展局、市财政局、人民银行辽宁省分行营管部）</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方正黑体_GBK" w:hAnsi="方正黑体_GBK" w:eastAsia="方正黑体_GBK" w:cs="方正黑体_GBK"/>
          <w:color w:val="auto"/>
          <w:sz w:val="32"/>
          <w:szCs w:val="32"/>
          <w:highlight w:val="none"/>
          <w:lang w:val="en-US" w:eastAsia="zh-CN"/>
        </w:rPr>
      </w:pPr>
      <w:r>
        <w:rPr>
          <w:rFonts w:hint="eastAsia" w:ascii="CESI仿宋-GB2312" w:hAnsi="CESI仿宋-GB2312" w:eastAsia="CESI仿宋-GB2312" w:cs="CESI仿宋-GB2312"/>
          <w:b/>
          <w:bCs/>
          <w:color w:val="auto"/>
          <w:sz w:val="32"/>
          <w:szCs w:val="32"/>
          <w:highlight w:val="none"/>
          <w:u w:val="none" w:color="auto"/>
          <w:lang w:val="en-US" w:eastAsia="zh-CN"/>
        </w:rPr>
        <w:t>8.鼓励建筑业企业发展壮大。</w:t>
      </w:r>
      <w:r>
        <w:rPr>
          <w:rFonts w:hint="eastAsia" w:ascii="CESI仿宋-GB2312" w:hAnsi="CESI仿宋-GB2312" w:eastAsia="CESI仿宋-GB2312" w:cs="CESI仿宋-GB2312"/>
          <w:b w:val="0"/>
          <w:bCs w:val="0"/>
          <w:color w:val="auto"/>
          <w:sz w:val="32"/>
          <w:szCs w:val="32"/>
          <w:highlight w:val="none"/>
          <w:u w:val="none" w:color="auto"/>
          <w:lang w:val="en-US" w:eastAsia="zh-CN"/>
        </w:rPr>
        <w:t>对纳入统计库、主营业务为建筑业的企业，上年度营业收入首次超过25亿元、50亿元、75 亿以上100亿元以下的，结合对地方经济贡献，分别给予20万元、30万元、40 万元的奖励。对首次年建筑业营业收入超过 20 亿元且增幅超过 15%的，一次性给予10万元的奖励。对当年新注册并纳入统计库且营业收入达到5亿元以上的建筑业企业，一次性奖励10万元。同一年度同时达到多项奖励标准的，按最高项给予奖励。</w:t>
      </w:r>
      <w:r>
        <w:rPr>
          <w:rFonts w:hint="eastAsia" w:ascii="方正黑体_GBK" w:hAnsi="方正黑体_GBK" w:eastAsia="方正黑体_GBK" w:cs="方正黑体_GBK"/>
          <w:color w:val="auto"/>
          <w:sz w:val="32"/>
          <w:szCs w:val="32"/>
          <w:highlight w:val="none"/>
          <w:lang w:val="en-US" w:eastAsia="zh-CN"/>
        </w:rPr>
        <w:t>（责任单位：市城乡建设局）</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楷体" w:hAnsi="楷体" w:eastAsia="楷体" w:cs="楷体"/>
          <w:b w:val="0"/>
          <w:bCs w:val="0"/>
          <w:color w:val="auto"/>
          <w:sz w:val="32"/>
          <w:szCs w:val="32"/>
          <w:highlight w:val="none"/>
          <w:lang w:eastAsia="zh-CN"/>
        </w:rPr>
      </w:pPr>
      <w:r>
        <w:rPr>
          <w:rFonts w:hint="eastAsia" w:ascii="仿宋_GB2312" w:eastAsia="仿宋_GB2312"/>
          <w:sz w:val="32"/>
          <w:szCs w:val="32"/>
          <w:highlight w:val="none"/>
        </w:rPr>
        <w:t xml:space="preserve">   </w:t>
      </w:r>
      <w:r>
        <w:rPr>
          <w:rFonts w:hint="eastAsia" w:ascii="楷体" w:hAnsi="楷体" w:eastAsia="楷体" w:cs="楷体"/>
          <w:b w:val="0"/>
          <w:bCs w:val="0"/>
          <w:color w:val="auto"/>
          <w:sz w:val="32"/>
          <w:szCs w:val="32"/>
          <w:highlight w:val="none"/>
          <w:lang w:eastAsia="zh-CN"/>
        </w:rPr>
        <w:t xml:space="preserve"> （三）切实降低民营企业成本</w:t>
      </w:r>
    </w:p>
    <w:p>
      <w:pPr>
        <w:keepNext w:val="0"/>
        <w:keepLines w:val="0"/>
        <w:pageBreakBefore w:val="0"/>
        <w:kinsoku/>
        <w:wordWrap/>
        <w:overflowPunct/>
        <w:topLinePunct w:val="0"/>
        <w:autoSpaceDE/>
        <w:autoSpaceDN/>
        <w:bidi w:val="0"/>
        <w:adjustRightInd/>
        <w:snapToGrid/>
        <w:spacing w:line="600" w:lineRule="exact"/>
        <w:ind w:firstLine="630"/>
        <w:textAlignment w:val="auto"/>
        <w:rPr>
          <w:rFonts w:hint="eastAsia" w:ascii="方正黑体_GBK" w:hAnsi="方正黑体_GBK" w:eastAsia="方正黑体_GBK" w:cs="方正黑体_GBK"/>
          <w:color w:val="auto"/>
          <w:sz w:val="32"/>
          <w:szCs w:val="32"/>
          <w:highlight w:val="none"/>
          <w:lang w:val="en-US" w:eastAsia="zh-CN"/>
        </w:rPr>
      </w:pPr>
      <w:r>
        <w:rPr>
          <w:rFonts w:hint="eastAsia" w:ascii="CESI仿宋-GB2312" w:hAnsi="CESI仿宋-GB2312" w:eastAsia="CESI仿宋-GB2312" w:cs="CESI仿宋-GB2312"/>
          <w:b/>
          <w:bCs/>
          <w:color w:val="auto"/>
          <w:sz w:val="32"/>
          <w:szCs w:val="32"/>
          <w:highlight w:val="none"/>
          <w:u w:val="none" w:color="auto"/>
          <w:lang w:val="en-US" w:eastAsia="zh-CN"/>
        </w:rPr>
        <w:t>9. 持续减轻民营企业税费负担。</w:t>
      </w:r>
      <w:r>
        <w:rPr>
          <w:rFonts w:hint="eastAsia" w:ascii="CESI仿宋-GB2312" w:hAnsi="CESI仿宋-GB2312" w:eastAsia="CESI仿宋-GB2312" w:cs="CESI仿宋-GB2312"/>
          <w:b w:val="0"/>
          <w:bCs w:val="0"/>
          <w:color w:val="auto"/>
          <w:sz w:val="32"/>
          <w:szCs w:val="32"/>
          <w:highlight w:val="none"/>
          <w:u w:val="none" w:color="auto"/>
          <w:lang w:val="en-US" w:eastAsia="zh-CN"/>
        </w:rPr>
        <w:t>自2022年1月1日至2027年12月31日，落实小微企业“六税两费”减免政策、小型微利企业减免企业所得税政策、增值税小规模纳税人减免政策。自2023年1月1日至2027年12月31日，执行先进制造业企业增值税加计抵减政策，允许先进制造业企业按照当期可抵扣进项税额加计5%抵减应纳增值税税额。推行税费优惠政策“免申即享”，利用电子税务局等线上线下渠道优化税费服务。</w:t>
      </w:r>
      <w:r>
        <w:rPr>
          <w:rFonts w:hint="eastAsia" w:ascii="方正黑体_GBK" w:hAnsi="方正黑体_GBK" w:eastAsia="方正黑体_GBK" w:cs="方正黑体_GBK"/>
          <w:color w:val="auto"/>
          <w:sz w:val="32"/>
          <w:szCs w:val="32"/>
          <w:highlight w:val="none"/>
          <w:lang w:val="en-US" w:eastAsia="zh-CN"/>
        </w:rPr>
        <w:t>（责任单位：市税务局）</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方正黑体_GBK" w:hAnsi="方正黑体_GBK" w:eastAsia="方正黑体_GBK" w:cs="方正黑体_GBK"/>
          <w:color w:val="auto"/>
          <w:sz w:val="32"/>
          <w:szCs w:val="32"/>
          <w:highlight w:val="none"/>
          <w:lang w:val="en-US" w:eastAsia="zh-CN"/>
        </w:rPr>
      </w:pPr>
      <w:r>
        <w:rPr>
          <w:rFonts w:hint="eastAsia" w:ascii="CESI仿宋-GB2312" w:hAnsi="CESI仿宋-GB2312" w:eastAsia="CESI仿宋-GB2312" w:cs="CESI仿宋-GB2312"/>
          <w:b/>
          <w:bCs/>
          <w:color w:val="auto"/>
          <w:sz w:val="32"/>
          <w:szCs w:val="32"/>
          <w:highlight w:val="none"/>
          <w:u w:val="none" w:color="auto"/>
          <w:lang w:val="en-US" w:eastAsia="zh-CN"/>
        </w:rPr>
        <w:t>10.健全涉企收费监管机制。</w:t>
      </w:r>
      <w:r>
        <w:rPr>
          <w:rFonts w:hint="eastAsia" w:ascii="CESI仿宋-GB2312" w:hAnsi="CESI仿宋-GB2312" w:eastAsia="CESI仿宋-GB2312" w:cs="CESI仿宋-GB2312"/>
          <w:b w:val="0"/>
          <w:bCs w:val="0"/>
          <w:color w:val="auto"/>
          <w:sz w:val="32"/>
          <w:szCs w:val="32"/>
          <w:highlight w:val="none"/>
          <w:u w:val="none" w:color="auto"/>
          <w:lang w:val="en-US" w:eastAsia="zh-CN"/>
        </w:rPr>
        <w:t>持续完善政府定价的涉企收费清单制度，动态调整，常态化公示，严格执行国家、省涉企收费规定，做到清单之外无收费。畅通涉企违规收费投诉举报渠道，综合采取市场监管、行业监管、信用监管等手段实施联合惩戒。</w:t>
      </w:r>
      <w:r>
        <w:rPr>
          <w:rFonts w:hint="eastAsia" w:ascii="方正黑体_GBK" w:hAnsi="方正黑体_GBK" w:eastAsia="方正黑体_GBK" w:cs="方正黑体_GBK"/>
          <w:color w:val="auto"/>
          <w:sz w:val="32"/>
          <w:szCs w:val="32"/>
          <w:highlight w:val="none"/>
          <w:lang w:val="en-US" w:eastAsia="zh-CN"/>
        </w:rPr>
        <w:t>（责任单位：市财政局、市发展改革委、市市场监管局）</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ascii="仿宋_GB2312" w:eastAsia="仿宋_GB2312"/>
          <w:sz w:val="32"/>
          <w:szCs w:val="32"/>
          <w:highlight w:val="none"/>
        </w:rPr>
      </w:pPr>
      <w:r>
        <w:rPr>
          <w:rFonts w:hint="eastAsia" w:ascii="CESI仿宋-GB2312" w:hAnsi="CESI仿宋-GB2312" w:eastAsia="CESI仿宋-GB2312" w:cs="CESI仿宋-GB2312"/>
          <w:b/>
          <w:bCs/>
          <w:color w:val="auto"/>
          <w:sz w:val="32"/>
          <w:szCs w:val="32"/>
          <w:highlight w:val="none"/>
          <w:u w:val="none" w:color="auto"/>
          <w:lang w:val="en-US" w:eastAsia="zh-CN"/>
        </w:rPr>
        <w:t>11.降低民营企业用工成本。</w:t>
      </w:r>
      <w:r>
        <w:rPr>
          <w:rFonts w:hint="eastAsia" w:ascii="CESI仿宋-GB2312" w:hAnsi="CESI仿宋-GB2312" w:eastAsia="CESI仿宋-GB2312" w:cs="CESI仿宋-GB2312"/>
          <w:b w:val="0"/>
          <w:bCs w:val="0"/>
          <w:color w:val="auto"/>
          <w:sz w:val="32"/>
          <w:szCs w:val="32"/>
          <w:highlight w:val="none"/>
          <w:u w:val="none" w:color="auto"/>
          <w:lang w:val="en-US" w:eastAsia="zh-CN"/>
        </w:rPr>
        <w:t>按照国家及省有关规定，延续实施总费率为1%的阶段性降低失业保险费率政策，执行期限延长至2025年4月30日，其中单位缴费费率0.5%、个人费率0.5%。</w:t>
      </w:r>
      <w:r>
        <w:rPr>
          <w:rFonts w:hint="eastAsia" w:ascii="方正黑体_GBK" w:hAnsi="方正黑体_GBK" w:eastAsia="方正黑体_GBK" w:cs="方正黑体_GBK"/>
          <w:color w:val="auto"/>
          <w:sz w:val="32"/>
          <w:szCs w:val="32"/>
          <w:highlight w:val="none"/>
          <w:lang w:val="en-US" w:eastAsia="zh-CN"/>
        </w:rPr>
        <w:t>（责任单位：市人</w:t>
      </w:r>
      <w:r>
        <w:rPr>
          <w:rFonts w:hint="eastAsia" w:ascii="方正黑体_GBK" w:hAnsi="方正黑体_GBK" w:eastAsia="方正黑体_GBK" w:cs="方正黑体_GBK"/>
          <w:color w:val="auto"/>
          <w:sz w:val="32"/>
          <w:szCs w:val="32"/>
          <w:highlight w:val="none"/>
          <w:lang w:eastAsia="zh-CN"/>
        </w:rPr>
        <w:t>力资源社会保障局</w:t>
      </w:r>
      <w:r>
        <w:rPr>
          <w:rFonts w:hint="eastAsia" w:ascii="楷体_GB2312" w:eastAsia="楷体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方正黑体_GBK" w:hAnsi="方正黑体_GBK" w:eastAsia="方正黑体_GBK" w:cs="方正黑体_GBK"/>
          <w:color w:val="auto"/>
          <w:sz w:val="32"/>
          <w:szCs w:val="32"/>
          <w:highlight w:val="none"/>
          <w:lang w:val="en-US" w:eastAsia="zh-CN"/>
        </w:rPr>
      </w:pPr>
      <w:r>
        <w:rPr>
          <w:rFonts w:hint="eastAsia" w:ascii="CESI仿宋-GB2312" w:hAnsi="CESI仿宋-GB2312" w:eastAsia="CESI仿宋-GB2312" w:cs="CESI仿宋-GB2312"/>
          <w:b/>
          <w:bCs/>
          <w:color w:val="auto"/>
          <w:sz w:val="32"/>
          <w:szCs w:val="32"/>
          <w:highlight w:val="none"/>
          <w:u w:val="none" w:color="auto"/>
          <w:lang w:val="en-US" w:eastAsia="zh-CN"/>
        </w:rPr>
        <w:t>12.强化人才需求保障。</w:t>
      </w:r>
      <w:r>
        <w:rPr>
          <w:rFonts w:hint="eastAsia" w:ascii="CESI仿宋-GB2312" w:hAnsi="CESI仿宋-GB2312" w:eastAsia="CESI仿宋-GB2312" w:cs="CESI仿宋-GB2312"/>
          <w:b w:val="0"/>
          <w:bCs w:val="0"/>
          <w:color w:val="auto"/>
          <w:sz w:val="32"/>
          <w:szCs w:val="32"/>
          <w:highlight w:val="none"/>
          <w:u w:val="none" w:color="auto"/>
          <w:lang w:val="en-US" w:eastAsia="zh-CN"/>
        </w:rPr>
        <w:t>畅通民营企业职称评审渠道，开展企业人才分类评价改革试点，扩大职称自主评审及人才自主认定单位数量和范围。加大企业科技特派员支持力度，企业科技特派员在派驻期间，工资、职称晋升与所在单位在职人员同等对待，允许在服务企业兼职兼薪。</w:t>
      </w:r>
      <w:r>
        <w:rPr>
          <w:rFonts w:hint="eastAsia" w:ascii="方正黑体_GBK" w:hAnsi="方正黑体_GBK" w:eastAsia="方正黑体_GBK" w:cs="方正黑体_GBK"/>
          <w:color w:val="auto"/>
          <w:sz w:val="32"/>
          <w:szCs w:val="32"/>
          <w:highlight w:val="none"/>
          <w:lang w:val="en-US" w:eastAsia="zh-CN"/>
        </w:rPr>
        <w:t>（责任单位：市人力资源社会保障局、市委组织部）</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楷体" w:hAnsi="楷体" w:eastAsia="楷体" w:cs="楷体"/>
          <w:b w:val="0"/>
          <w:bCs w:val="0"/>
          <w:color w:val="auto"/>
          <w:sz w:val="32"/>
          <w:szCs w:val="32"/>
          <w:highlight w:val="none"/>
          <w:lang w:eastAsia="zh-CN"/>
        </w:rPr>
      </w:pPr>
      <w:r>
        <w:rPr>
          <w:rFonts w:hint="eastAsia" w:ascii="黑体" w:hAnsi="黑体" w:eastAsia="黑体"/>
          <w:sz w:val="32"/>
          <w:szCs w:val="32"/>
          <w:highlight w:val="none"/>
        </w:rPr>
        <w:t xml:space="preserve">   </w:t>
      </w:r>
      <w:r>
        <w:rPr>
          <w:rFonts w:hint="eastAsia" w:ascii="楷体" w:hAnsi="楷体" w:eastAsia="楷体" w:cs="楷体"/>
          <w:b w:val="0"/>
          <w:bCs w:val="0"/>
          <w:color w:val="auto"/>
          <w:sz w:val="32"/>
          <w:szCs w:val="32"/>
          <w:highlight w:val="none"/>
          <w:lang w:eastAsia="zh-CN"/>
        </w:rPr>
        <w:t xml:space="preserve"> （四）推动民营经济公平准入</w:t>
      </w:r>
    </w:p>
    <w:p>
      <w:pPr>
        <w:keepNext w:val="0"/>
        <w:keepLines w:val="0"/>
        <w:pageBreakBefore w:val="0"/>
        <w:kinsoku/>
        <w:wordWrap/>
        <w:overflowPunct/>
        <w:topLinePunct w:val="0"/>
        <w:autoSpaceDE/>
        <w:autoSpaceDN/>
        <w:bidi w:val="0"/>
        <w:adjustRightInd/>
        <w:snapToGrid/>
        <w:spacing w:line="600" w:lineRule="exact"/>
        <w:ind w:firstLine="630"/>
        <w:textAlignment w:val="auto"/>
        <w:rPr>
          <w:rFonts w:hint="eastAsia" w:ascii="方正黑体_GBK" w:hAnsi="方正黑体_GBK" w:eastAsia="方正黑体_GBK" w:cs="方正黑体_GBK"/>
          <w:color w:val="auto"/>
          <w:sz w:val="32"/>
          <w:szCs w:val="32"/>
          <w:highlight w:val="none"/>
          <w:lang w:val="en-US" w:eastAsia="zh-CN"/>
        </w:rPr>
      </w:pPr>
      <w:r>
        <w:rPr>
          <w:rFonts w:hint="eastAsia" w:ascii="CESI仿宋-GB2312" w:hAnsi="CESI仿宋-GB2312" w:eastAsia="CESI仿宋-GB2312" w:cs="CESI仿宋-GB2312"/>
          <w:b/>
          <w:bCs/>
          <w:color w:val="auto"/>
          <w:sz w:val="32"/>
          <w:szCs w:val="32"/>
          <w:highlight w:val="none"/>
          <w:u w:val="none" w:color="auto"/>
          <w:lang w:val="en-US" w:eastAsia="zh-CN"/>
        </w:rPr>
        <w:t>13.鼓励和支持民间投资。</w:t>
      </w:r>
      <w:r>
        <w:rPr>
          <w:rFonts w:hint="eastAsia" w:ascii="CESI仿宋-GB2312" w:hAnsi="CESI仿宋-GB2312" w:eastAsia="CESI仿宋-GB2312" w:cs="CESI仿宋-GB2312"/>
          <w:b w:val="0"/>
          <w:bCs w:val="0"/>
          <w:color w:val="auto"/>
          <w:sz w:val="32"/>
          <w:szCs w:val="32"/>
          <w:highlight w:val="none"/>
          <w:u w:val="none" w:color="auto"/>
          <w:lang w:val="en-US" w:eastAsia="zh-CN"/>
        </w:rPr>
        <w:t>建立向民营企业推介的重大工程和补短板项目清单，依托全国投资项目在线审批监管平台等渠道公开发布项目合作需求，依法依规吸引民间资本参与建设，通过投资控股、投资参股、投资代建等多种模式开展合资合作。推动符合条件的民间投资项目发行基础设施REITs。</w:t>
      </w:r>
      <w:r>
        <w:rPr>
          <w:rFonts w:hint="eastAsia" w:ascii="方正黑体_GBK" w:hAnsi="方正黑体_GBK" w:eastAsia="方正黑体_GBK" w:cs="方正黑体_GBK"/>
          <w:color w:val="auto"/>
          <w:sz w:val="32"/>
          <w:szCs w:val="32"/>
          <w:highlight w:val="none"/>
          <w:lang w:val="en-US" w:eastAsia="zh-CN"/>
        </w:rPr>
        <w:t>（责任单位：市发展改革委、市城乡建设局）</w:t>
      </w:r>
    </w:p>
    <w:p>
      <w:pPr>
        <w:keepNext w:val="0"/>
        <w:keepLines w:val="0"/>
        <w:pageBreakBefore w:val="0"/>
        <w:kinsoku/>
        <w:wordWrap/>
        <w:overflowPunct/>
        <w:topLinePunct w:val="0"/>
        <w:autoSpaceDE/>
        <w:autoSpaceDN/>
        <w:bidi w:val="0"/>
        <w:adjustRightInd/>
        <w:snapToGrid/>
        <w:spacing w:line="600" w:lineRule="exact"/>
        <w:ind w:firstLine="630"/>
        <w:textAlignment w:val="auto"/>
        <w:rPr>
          <w:rFonts w:hint="eastAsia" w:ascii="方正黑体_GBK" w:hAnsi="方正黑体_GBK" w:eastAsia="方正黑体_GBK" w:cs="方正黑体_GBK"/>
          <w:color w:val="auto"/>
          <w:sz w:val="32"/>
          <w:szCs w:val="32"/>
          <w:highlight w:val="none"/>
          <w:lang w:val="en-US" w:eastAsia="zh-CN"/>
        </w:rPr>
      </w:pPr>
      <w:r>
        <w:rPr>
          <w:rFonts w:hint="eastAsia" w:ascii="CESI仿宋-GB2312" w:hAnsi="CESI仿宋-GB2312" w:eastAsia="CESI仿宋-GB2312" w:cs="CESI仿宋-GB2312"/>
          <w:b/>
          <w:bCs/>
          <w:color w:val="auto"/>
          <w:sz w:val="32"/>
          <w:szCs w:val="32"/>
          <w:highlight w:val="none"/>
          <w:u w:val="none" w:color="auto"/>
          <w:lang w:val="en-US" w:eastAsia="zh-CN"/>
        </w:rPr>
        <w:t>14.支持中小企业参与工程建设领域招投标。</w:t>
      </w:r>
      <w:r>
        <w:rPr>
          <w:rFonts w:hint="eastAsia" w:ascii="CESI仿宋-GB2312" w:hAnsi="CESI仿宋-GB2312" w:eastAsia="CESI仿宋-GB2312" w:cs="CESI仿宋-GB2312"/>
          <w:b w:val="0"/>
          <w:bCs w:val="0"/>
          <w:color w:val="auto"/>
          <w:sz w:val="32"/>
          <w:szCs w:val="32"/>
          <w:highlight w:val="none"/>
          <w:u w:val="none" w:color="auto"/>
          <w:lang w:val="en-US" w:eastAsia="zh-CN"/>
        </w:rPr>
        <w:t>在政府投资（含国有企业投资）的招投标活动中，超过400万元的工程采购项目中适宜由中小企业提供的，在坚持公开公正、公平竞争原则和统一质量标准的前提下，面向中小企业预留40%以上份额；400万以下依法无须公开招标的政府投资（含国有企业投资，含邀请招标、直接发包）应当考虑企业信用评价情况，择优选择中小企业承接工程。</w:t>
      </w:r>
      <w:r>
        <w:rPr>
          <w:rFonts w:hint="eastAsia" w:ascii="方正黑体_GBK" w:hAnsi="方正黑体_GBK" w:eastAsia="方正黑体_GBK" w:cs="方正黑体_GBK"/>
          <w:color w:val="auto"/>
          <w:sz w:val="32"/>
          <w:szCs w:val="32"/>
          <w:highlight w:val="none"/>
          <w:lang w:val="en-US" w:eastAsia="zh-CN"/>
        </w:rPr>
        <w:t>（责任单位：市城乡建设局、市发展改革委、市交通运输局、市水务局、市房产局）</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楷体" w:hAnsi="楷体" w:eastAsia="楷体" w:cs="楷体"/>
          <w:b w:val="0"/>
          <w:bCs w:val="0"/>
          <w:color w:val="auto"/>
          <w:sz w:val="32"/>
          <w:szCs w:val="32"/>
          <w:highlight w:val="none"/>
          <w:lang w:eastAsia="zh-CN"/>
        </w:rPr>
      </w:pPr>
      <w:r>
        <w:rPr>
          <w:rFonts w:hint="eastAsia" w:ascii="黑体" w:hAnsi="黑体" w:eastAsia="黑体"/>
          <w:sz w:val="32"/>
          <w:szCs w:val="32"/>
          <w:highlight w:val="none"/>
        </w:rPr>
        <w:t xml:space="preserve"> </w:t>
      </w:r>
      <w:r>
        <w:rPr>
          <w:rFonts w:hint="eastAsia" w:ascii="楷体" w:hAnsi="楷体" w:eastAsia="楷体" w:cs="楷体"/>
          <w:b w:val="0"/>
          <w:bCs w:val="0"/>
          <w:color w:val="auto"/>
          <w:sz w:val="32"/>
          <w:szCs w:val="32"/>
          <w:highlight w:val="none"/>
          <w:lang w:eastAsia="zh-CN"/>
        </w:rPr>
        <w:t xml:space="preserve">   （五）持续优化民营企业发展环境</w:t>
      </w:r>
    </w:p>
    <w:p>
      <w:pPr>
        <w:keepNext w:val="0"/>
        <w:keepLines w:val="0"/>
        <w:pageBreakBefore w:val="0"/>
        <w:kinsoku/>
        <w:wordWrap/>
        <w:overflowPunct/>
        <w:topLinePunct w:val="0"/>
        <w:autoSpaceDE/>
        <w:autoSpaceDN/>
        <w:bidi w:val="0"/>
        <w:adjustRightInd/>
        <w:snapToGrid/>
        <w:spacing w:line="600" w:lineRule="exact"/>
        <w:ind w:firstLine="630"/>
        <w:textAlignment w:val="auto"/>
        <w:rPr>
          <w:rFonts w:hint="eastAsia" w:ascii="方正黑体_GBK" w:hAnsi="方正黑体_GBK" w:eastAsia="方正黑体_GBK" w:cs="方正黑体_GBK"/>
          <w:color w:val="auto"/>
          <w:sz w:val="32"/>
          <w:szCs w:val="32"/>
          <w:highlight w:val="none"/>
          <w:lang w:val="en-US" w:eastAsia="zh-CN"/>
        </w:rPr>
      </w:pPr>
      <w:r>
        <w:rPr>
          <w:rFonts w:hint="eastAsia" w:ascii="CESI仿宋-GB2312" w:hAnsi="CESI仿宋-GB2312" w:eastAsia="CESI仿宋-GB2312" w:cs="CESI仿宋-GB2312"/>
          <w:b/>
          <w:bCs/>
          <w:color w:val="auto"/>
          <w:sz w:val="32"/>
          <w:szCs w:val="32"/>
          <w:highlight w:val="none"/>
          <w:u w:val="none" w:color="auto"/>
          <w:lang w:val="en-US" w:eastAsia="zh-CN"/>
        </w:rPr>
        <w:t>15.依法保护民营企业产权和企业家权益。</w:t>
      </w:r>
      <w:r>
        <w:rPr>
          <w:rFonts w:hint="eastAsia" w:ascii="CESI仿宋-GB2312" w:hAnsi="CESI仿宋-GB2312" w:eastAsia="CESI仿宋-GB2312" w:cs="CESI仿宋-GB2312"/>
          <w:b w:val="0"/>
          <w:bCs w:val="0"/>
          <w:color w:val="auto"/>
          <w:sz w:val="32"/>
          <w:szCs w:val="32"/>
          <w:highlight w:val="none"/>
          <w:u w:val="none" w:color="auto"/>
          <w:lang w:val="en-US" w:eastAsia="zh-CN"/>
        </w:rPr>
        <w:t>开展拖欠账款常态化预防和清理，落实大型企业拖欠中小企业账款公示制度和逾期未支付中小企业账款强制披露制度，完善拖欠账款投诉处理和信用监督机制。建设国家知识产权保护示范区，充分发挥沈阳知识产权法庭跨区域管辖制度服务民营企业作用，优化知识产权民事、行政、刑事案件“三审合一”机制。</w:t>
      </w:r>
      <w:r>
        <w:rPr>
          <w:rFonts w:hint="eastAsia" w:ascii="方正黑体_GBK" w:hAnsi="方正黑体_GBK" w:eastAsia="方正黑体_GBK" w:cs="方正黑体_GBK"/>
          <w:color w:val="auto"/>
          <w:sz w:val="32"/>
          <w:szCs w:val="32"/>
          <w:highlight w:val="none"/>
          <w:lang w:val="en-US" w:eastAsia="zh-CN"/>
        </w:rPr>
        <w:t>（责任单位：市工业和信息化局、市市场监管局、市法院）</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color w:val="auto"/>
          <w:sz w:val="32"/>
          <w:szCs w:val="32"/>
          <w:highlight w:val="none"/>
          <w:lang w:val="en-US" w:eastAsia="zh-CN"/>
        </w:rPr>
      </w:pPr>
      <w:r>
        <w:rPr>
          <w:rFonts w:hint="eastAsia" w:ascii="楷体_GB2312" w:eastAsia="楷体_GB2312"/>
          <w:b/>
          <w:sz w:val="32"/>
          <w:szCs w:val="32"/>
          <w:highlight w:val="none"/>
        </w:rPr>
        <w:t xml:space="preserve">  </w:t>
      </w:r>
      <w:r>
        <w:rPr>
          <w:rFonts w:hint="eastAsia" w:ascii="CESI仿宋-GB2312" w:hAnsi="CESI仿宋-GB2312" w:eastAsia="CESI仿宋-GB2312" w:cs="CESI仿宋-GB2312"/>
          <w:b/>
          <w:bCs/>
          <w:color w:val="auto"/>
          <w:sz w:val="32"/>
          <w:szCs w:val="32"/>
          <w:highlight w:val="none"/>
          <w:u w:val="none" w:color="auto"/>
          <w:lang w:val="en-US" w:eastAsia="zh-CN"/>
        </w:rPr>
        <w:t xml:space="preserve">  16.提升企业信用修复服务质效。</w:t>
      </w:r>
      <w:r>
        <w:rPr>
          <w:rFonts w:hint="eastAsia" w:ascii="CESI仿宋-GB2312" w:hAnsi="CESI仿宋-GB2312" w:eastAsia="CESI仿宋-GB2312" w:cs="CESI仿宋-GB2312"/>
          <w:b w:val="0"/>
          <w:bCs w:val="0"/>
          <w:color w:val="auto"/>
          <w:sz w:val="32"/>
          <w:szCs w:val="32"/>
          <w:highlight w:val="none"/>
          <w:u w:val="none" w:color="auto"/>
          <w:lang w:val="en-US" w:eastAsia="zh-CN"/>
        </w:rPr>
        <w:t>推广行政处罚决定书与信用修复提醒函“两书同达”机制，主动告知企业公示期限及申请失信修复的政策和途径。对符合信用修复条件的失信企业，试行信用修复主动提示机制。提升企业信用修复初审效率，将行政处罚信息信用修复初审时间由三个工作日优化为即时办结，最大程度降低企业失信影响。</w:t>
      </w:r>
      <w:r>
        <w:rPr>
          <w:rFonts w:hint="eastAsia" w:ascii="方正黑体_GBK" w:hAnsi="方正黑体_GBK" w:eastAsia="方正黑体_GBK" w:cs="方正黑体_GBK"/>
          <w:color w:val="auto"/>
          <w:sz w:val="32"/>
          <w:szCs w:val="32"/>
          <w:highlight w:val="none"/>
          <w:lang w:val="en-US" w:eastAsia="zh-CN"/>
        </w:rPr>
        <w:t>（责任单位：市发展改革委、市市场监管局、市大数据局）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color w:val="auto"/>
          <w:sz w:val="32"/>
          <w:szCs w:val="32"/>
          <w:highlight w:val="none"/>
          <w:lang w:val="en-US" w:eastAsia="zh-CN"/>
        </w:rPr>
      </w:pPr>
      <w:r>
        <w:rPr>
          <w:rFonts w:hint="eastAsia" w:ascii="CESI仿宋-GB2312" w:hAnsi="CESI仿宋-GB2312" w:eastAsia="CESI仿宋-GB2312" w:cs="CESI仿宋-GB2312"/>
          <w:b/>
          <w:bCs/>
          <w:color w:val="auto"/>
          <w:sz w:val="32"/>
          <w:szCs w:val="32"/>
          <w:highlight w:val="none"/>
          <w:u w:val="none" w:color="auto"/>
          <w:lang w:val="en-US" w:eastAsia="zh-CN"/>
        </w:rPr>
        <w:t>17.营造关心促进民营经济发展壮大良好氛围。</w:t>
      </w:r>
      <w:r>
        <w:rPr>
          <w:rFonts w:hint="eastAsia" w:ascii="CESI仿宋-GB2312" w:hAnsi="CESI仿宋-GB2312" w:eastAsia="CESI仿宋-GB2312" w:cs="CESI仿宋-GB2312"/>
          <w:b w:val="0"/>
          <w:bCs w:val="0"/>
          <w:color w:val="auto"/>
          <w:sz w:val="32"/>
          <w:szCs w:val="32"/>
          <w:highlight w:val="none"/>
          <w:u w:val="none" w:color="auto"/>
          <w:lang w:val="en-US" w:eastAsia="zh-CN"/>
        </w:rPr>
        <w:t>培育尊重民营经济创新创业的舆论环境，完善“政企直通车”制度，升级“惠帮企@链上沈阳”平台功能，全市选树一批“沈阳市全面振兴新突破突出贡献民营企业”作为先进典型，对优秀民营企业在公共服务、企业发展方面给予支持，增强企业家的荣誉感和社会价值感。</w:t>
      </w:r>
      <w:r>
        <w:rPr>
          <w:rFonts w:hint="eastAsia" w:ascii="方正黑体_GBK" w:hAnsi="方正黑体_GBK" w:eastAsia="方正黑体_GBK" w:cs="方正黑体_GBK"/>
          <w:color w:val="auto"/>
          <w:sz w:val="32"/>
          <w:szCs w:val="32"/>
          <w:highlight w:val="none"/>
          <w:lang w:val="en-US" w:eastAsia="zh-CN"/>
        </w:rPr>
        <w:t>（责任单位：市委统战部、市工商联）</w:t>
      </w:r>
    </w:p>
    <w:p>
      <w:pPr>
        <w:rPr>
          <w:rFonts w:hint="eastAsia"/>
          <w:lang w:val="en-US" w:eastAsia="zh-CN"/>
        </w:rPr>
      </w:pP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A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
    <w:altName w:val="DejaVu Math TeX Gyre"/>
    <w:panose1 w:val="00000000000000000000"/>
    <w:charset w:val="00"/>
    <w:family w:val="auto"/>
    <w:pitch w:val="default"/>
    <w:sig w:usb0="00000000" w:usb1="00000000" w:usb2="00000000" w:usb3="00000000" w:csb0="00000001" w:csb1="00000000"/>
  </w:font>
  <w:font w:name="等线">
    <w:altName w:val="汉仪中宋简"/>
    <w:panose1 w:val="02010600030101010101"/>
    <w:charset w:val="00"/>
    <w:family w:val="auto"/>
    <w:pitch w:val="default"/>
    <w:sig w:usb0="00000000" w:usb1="00000000" w:usb2="00000016" w:usb3="00000000" w:csb0="0004000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CESI黑体-GB2312">
    <w:panose1 w:val="02000500000000000000"/>
    <w:charset w:val="86"/>
    <w:family w:val="auto"/>
    <w:pitch w:val="default"/>
    <w:sig w:usb0="800002BF" w:usb1="184F6CF8" w:usb2="00000012" w:usb3="00000000" w:csb0="0004000F" w:csb1="00000000"/>
  </w:font>
  <w:font w:name="CESI楷体-GB2312">
    <w:panose1 w:val="02000500000000000000"/>
    <w:charset w:val="86"/>
    <w:family w:val="auto"/>
    <w:pitch w:val="default"/>
    <w:sig w:usb0="800002BF" w:usb1="184F6CF8" w:usb2="00000012" w:usb3="00000000" w:csb0="0004000F" w:csb1="00000000"/>
  </w:font>
  <w:font w:name="仿宋">
    <w:altName w:val="方正仿宋_GBK"/>
    <w:panose1 w:val="02010609060101010101"/>
    <w:charset w:val="86"/>
    <w:family w:val="auto"/>
    <w:pitch w:val="default"/>
    <w:sig w:usb0="00000000" w:usb1="00000000" w:usb2="00000016" w:usb3="00000000" w:csb0="00040001" w:csb1="00000000"/>
  </w:font>
  <w:font w:name="CESI小标宋-GB2312">
    <w:panose1 w:val="02000500000000000000"/>
    <w:charset w:val="86"/>
    <w:family w:val="auto"/>
    <w:pitch w:val="default"/>
    <w:sig w:usb0="800002AF" w:usb1="084F6CF8" w:usb2="00000010" w:usb3="00000000" w:csb0="0004000F" w:csb1="00000000"/>
  </w:font>
  <w:font w:name="楷体_GB2312">
    <w:altName w:val="方正楷体_GBK"/>
    <w:panose1 w:val="02010609030101010101"/>
    <w:charset w:val="00"/>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hMjNhODMzZjUwYTU1MWI3MjhjZjhkZWZmZjQ2NTcifQ=="/>
  </w:docVars>
  <w:rsids>
    <w:rsidRoot w:val="104C1FA8"/>
    <w:rsid w:val="005E1DB5"/>
    <w:rsid w:val="016C0FA1"/>
    <w:rsid w:val="017B1B00"/>
    <w:rsid w:val="021B4775"/>
    <w:rsid w:val="027A369F"/>
    <w:rsid w:val="02CE2E4C"/>
    <w:rsid w:val="02F5745D"/>
    <w:rsid w:val="03471CD4"/>
    <w:rsid w:val="04953539"/>
    <w:rsid w:val="04A27496"/>
    <w:rsid w:val="04AC7907"/>
    <w:rsid w:val="05AB3554"/>
    <w:rsid w:val="05C61E25"/>
    <w:rsid w:val="05D93212"/>
    <w:rsid w:val="05E12760"/>
    <w:rsid w:val="06AB256C"/>
    <w:rsid w:val="079052BE"/>
    <w:rsid w:val="08213296"/>
    <w:rsid w:val="089B36AD"/>
    <w:rsid w:val="08E16A6E"/>
    <w:rsid w:val="08E26D73"/>
    <w:rsid w:val="09B8018D"/>
    <w:rsid w:val="09F47D86"/>
    <w:rsid w:val="09FE3CE8"/>
    <w:rsid w:val="0A6A4967"/>
    <w:rsid w:val="0AAC0660"/>
    <w:rsid w:val="0B7F3035"/>
    <w:rsid w:val="0BED3DDC"/>
    <w:rsid w:val="0C745384"/>
    <w:rsid w:val="0CCE2B10"/>
    <w:rsid w:val="0CDF5CB6"/>
    <w:rsid w:val="0CE91E68"/>
    <w:rsid w:val="0DAA76CC"/>
    <w:rsid w:val="0E5F4AB1"/>
    <w:rsid w:val="0E782F04"/>
    <w:rsid w:val="0FF84CE2"/>
    <w:rsid w:val="104C1FA8"/>
    <w:rsid w:val="105FB7D3"/>
    <w:rsid w:val="11101D9D"/>
    <w:rsid w:val="11577EF9"/>
    <w:rsid w:val="11FF376C"/>
    <w:rsid w:val="12D104FA"/>
    <w:rsid w:val="12FB4841"/>
    <w:rsid w:val="13196F90"/>
    <w:rsid w:val="13CC1D73"/>
    <w:rsid w:val="13EEA24E"/>
    <w:rsid w:val="144C7477"/>
    <w:rsid w:val="146F0804"/>
    <w:rsid w:val="15080B89"/>
    <w:rsid w:val="1516350E"/>
    <w:rsid w:val="16BD8210"/>
    <w:rsid w:val="16F6AC5E"/>
    <w:rsid w:val="17544559"/>
    <w:rsid w:val="1783148B"/>
    <w:rsid w:val="17CF19B8"/>
    <w:rsid w:val="17F7DDF0"/>
    <w:rsid w:val="184F4519"/>
    <w:rsid w:val="189F669C"/>
    <w:rsid w:val="18DEE737"/>
    <w:rsid w:val="19BB557D"/>
    <w:rsid w:val="19C0641E"/>
    <w:rsid w:val="19F72C77"/>
    <w:rsid w:val="1A4B7659"/>
    <w:rsid w:val="1A824F3A"/>
    <w:rsid w:val="1A897E40"/>
    <w:rsid w:val="1B365EFC"/>
    <w:rsid w:val="1B623D84"/>
    <w:rsid w:val="1B6B3C20"/>
    <w:rsid w:val="1B7FF781"/>
    <w:rsid w:val="1BB3ABA8"/>
    <w:rsid w:val="1BB43EFD"/>
    <w:rsid w:val="1BF3CE08"/>
    <w:rsid w:val="1BFA94EF"/>
    <w:rsid w:val="1BFDA39F"/>
    <w:rsid w:val="1C5C057A"/>
    <w:rsid w:val="1C8036FB"/>
    <w:rsid w:val="1CA82A94"/>
    <w:rsid w:val="1CC326C2"/>
    <w:rsid w:val="1CF0383A"/>
    <w:rsid w:val="1D6A7BA9"/>
    <w:rsid w:val="1DFA3D32"/>
    <w:rsid w:val="1E2756AE"/>
    <w:rsid w:val="1E668955"/>
    <w:rsid w:val="1EF045B7"/>
    <w:rsid w:val="1F898FB0"/>
    <w:rsid w:val="1FFF48C6"/>
    <w:rsid w:val="20830C73"/>
    <w:rsid w:val="20D35C31"/>
    <w:rsid w:val="20D45531"/>
    <w:rsid w:val="213413B3"/>
    <w:rsid w:val="21B53DBB"/>
    <w:rsid w:val="2261453B"/>
    <w:rsid w:val="23737865"/>
    <w:rsid w:val="247F7D13"/>
    <w:rsid w:val="25754019"/>
    <w:rsid w:val="259B4E6F"/>
    <w:rsid w:val="267E79BD"/>
    <w:rsid w:val="26DA67C4"/>
    <w:rsid w:val="270E604A"/>
    <w:rsid w:val="27AF30E6"/>
    <w:rsid w:val="27FB810A"/>
    <w:rsid w:val="282D666F"/>
    <w:rsid w:val="29115E06"/>
    <w:rsid w:val="2916145A"/>
    <w:rsid w:val="29DB01C2"/>
    <w:rsid w:val="29E0569E"/>
    <w:rsid w:val="2A087AB4"/>
    <w:rsid w:val="2A453496"/>
    <w:rsid w:val="2A8A01C7"/>
    <w:rsid w:val="2C156488"/>
    <w:rsid w:val="2C75C152"/>
    <w:rsid w:val="2DAF3450"/>
    <w:rsid w:val="2DD06723"/>
    <w:rsid w:val="2E374561"/>
    <w:rsid w:val="2ECF77CF"/>
    <w:rsid w:val="2EDB0225"/>
    <w:rsid w:val="2F6F4350"/>
    <w:rsid w:val="2FAAF168"/>
    <w:rsid w:val="2FAF55A3"/>
    <w:rsid w:val="2FBC46C9"/>
    <w:rsid w:val="2FEA2C15"/>
    <w:rsid w:val="2FEDD61C"/>
    <w:rsid w:val="2FFF611D"/>
    <w:rsid w:val="30220B1D"/>
    <w:rsid w:val="303D3985"/>
    <w:rsid w:val="3071362F"/>
    <w:rsid w:val="31476781"/>
    <w:rsid w:val="318C69B4"/>
    <w:rsid w:val="32075FF9"/>
    <w:rsid w:val="33751DAD"/>
    <w:rsid w:val="338D209D"/>
    <w:rsid w:val="341627FC"/>
    <w:rsid w:val="3437A774"/>
    <w:rsid w:val="34A57D4B"/>
    <w:rsid w:val="351954BA"/>
    <w:rsid w:val="35FBC69B"/>
    <w:rsid w:val="35FFC7EB"/>
    <w:rsid w:val="363E6468"/>
    <w:rsid w:val="367736F5"/>
    <w:rsid w:val="36BC6FD3"/>
    <w:rsid w:val="36BFAB83"/>
    <w:rsid w:val="36BFBA59"/>
    <w:rsid w:val="36ED6A94"/>
    <w:rsid w:val="373D331B"/>
    <w:rsid w:val="3763B46D"/>
    <w:rsid w:val="377B361E"/>
    <w:rsid w:val="37AEECD2"/>
    <w:rsid w:val="37BF75A7"/>
    <w:rsid w:val="38C764E2"/>
    <w:rsid w:val="39477622"/>
    <w:rsid w:val="397D02DA"/>
    <w:rsid w:val="39FE5E69"/>
    <w:rsid w:val="3AA65430"/>
    <w:rsid w:val="3AED68E8"/>
    <w:rsid w:val="3BBF4FBA"/>
    <w:rsid w:val="3BFFA09D"/>
    <w:rsid w:val="3C332860"/>
    <w:rsid w:val="3CAB3E22"/>
    <w:rsid w:val="3D1912D6"/>
    <w:rsid w:val="3D235A47"/>
    <w:rsid w:val="3D47694F"/>
    <w:rsid w:val="3D4B7C11"/>
    <w:rsid w:val="3DCF9313"/>
    <w:rsid w:val="3DE9B242"/>
    <w:rsid w:val="3DFA3CA0"/>
    <w:rsid w:val="3E0559B3"/>
    <w:rsid w:val="3E24753D"/>
    <w:rsid w:val="3E72795A"/>
    <w:rsid w:val="3EB4BEAF"/>
    <w:rsid w:val="3EB7C00E"/>
    <w:rsid w:val="3EFB5388"/>
    <w:rsid w:val="3EFF3BE5"/>
    <w:rsid w:val="3F375F19"/>
    <w:rsid w:val="3F77A0C1"/>
    <w:rsid w:val="3FE932BE"/>
    <w:rsid w:val="3FF6C3FA"/>
    <w:rsid w:val="3FF78EDE"/>
    <w:rsid w:val="3FFE99ED"/>
    <w:rsid w:val="41FA6751"/>
    <w:rsid w:val="42667EA2"/>
    <w:rsid w:val="430F2408"/>
    <w:rsid w:val="432404FC"/>
    <w:rsid w:val="436037BB"/>
    <w:rsid w:val="444035EC"/>
    <w:rsid w:val="449B094E"/>
    <w:rsid w:val="455C1DD4"/>
    <w:rsid w:val="467EFAA7"/>
    <w:rsid w:val="46955E71"/>
    <w:rsid w:val="469F4F9C"/>
    <w:rsid w:val="46B86536"/>
    <w:rsid w:val="46ED1C13"/>
    <w:rsid w:val="473E19D4"/>
    <w:rsid w:val="4745607B"/>
    <w:rsid w:val="47AB0F4D"/>
    <w:rsid w:val="47CD379D"/>
    <w:rsid w:val="47CFBF86"/>
    <w:rsid w:val="48521335"/>
    <w:rsid w:val="485B2E6C"/>
    <w:rsid w:val="489F155C"/>
    <w:rsid w:val="48A57B7B"/>
    <w:rsid w:val="48E7672C"/>
    <w:rsid w:val="492B03C7"/>
    <w:rsid w:val="496D1BDC"/>
    <w:rsid w:val="49895E52"/>
    <w:rsid w:val="49A453F7"/>
    <w:rsid w:val="4A205A52"/>
    <w:rsid w:val="4ACC138B"/>
    <w:rsid w:val="4B317657"/>
    <w:rsid w:val="4C7923CF"/>
    <w:rsid w:val="4C7EABC9"/>
    <w:rsid w:val="4DF3E30A"/>
    <w:rsid w:val="4E564138"/>
    <w:rsid w:val="4EAF5140"/>
    <w:rsid w:val="4EDF768A"/>
    <w:rsid w:val="4F0B4D33"/>
    <w:rsid w:val="4F6E3C59"/>
    <w:rsid w:val="4FCA47F3"/>
    <w:rsid w:val="4FEF9785"/>
    <w:rsid w:val="4FEFA113"/>
    <w:rsid w:val="4FF55FBA"/>
    <w:rsid w:val="5107079F"/>
    <w:rsid w:val="51FED7AB"/>
    <w:rsid w:val="52230A76"/>
    <w:rsid w:val="52A228E7"/>
    <w:rsid w:val="52FDAE3A"/>
    <w:rsid w:val="53354B51"/>
    <w:rsid w:val="53EF01D8"/>
    <w:rsid w:val="53FE5D22"/>
    <w:rsid w:val="53FF917E"/>
    <w:rsid w:val="544F5275"/>
    <w:rsid w:val="54532EC8"/>
    <w:rsid w:val="546B0327"/>
    <w:rsid w:val="54FBA19B"/>
    <w:rsid w:val="55FE1DF7"/>
    <w:rsid w:val="56BE388E"/>
    <w:rsid w:val="56F32814"/>
    <w:rsid w:val="57680A38"/>
    <w:rsid w:val="577AE905"/>
    <w:rsid w:val="57ED5983"/>
    <w:rsid w:val="57F1EB14"/>
    <w:rsid w:val="57F3B0E1"/>
    <w:rsid w:val="57FDD280"/>
    <w:rsid w:val="584765DA"/>
    <w:rsid w:val="589D2963"/>
    <w:rsid w:val="58C76310"/>
    <w:rsid w:val="592A147B"/>
    <w:rsid w:val="595530BC"/>
    <w:rsid w:val="595840D9"/>
    <w:rsid w:val="59DA4B92"/>
    <w:rsid w:val="5B104311"/>
    <w:rsid w:val="5B77174B"/>
    <w:rsid w:val="5B906FBF"/>
    <w:rsid w:val="5BB4F8FA"/>
    <w:rsid w:val="5BD462C2"/>
    <w:rsid w:val="5BDFDC5E"/>
    <w:rsid w:val="5C401F83"/>
    <w:rsid w:val="5C4619C5"/>
    <w:rsid w:val="5C7D294B"/>
    <w:rsid w:val="5CBEC7C2"/>
    <w:rsid w:val="5CFEB523"/>
    <w:rsid w:val="5D73E213"/>
    <w:rsid w:val="5D7D7A37"/>
    <w:rsid w:val="5D9E1657"/>
    <w:rsid w:val="5DCA07A1"/>
    <w:rsid w:val="5DCF2F70"/>
    <w:rsid w:val="5DDF25FA"/>
    <w:rsid w:val="5DE50C09"/>
    <w:rsid w:val="5DE7ED37"/>
    <w:rsid w:val="5E1D5A80"/>
    <w:rsid w:val="5EBE6FD0"/>
    <w:rsid w:val="5EFA7CCD"/>
    <w:rsid w:val="5F2A4792"/>
    <w:rsid w:val="5F6A250C"/>
    <w:rsid w:val="5F7BB622"/>
    <w:rsid w:val="5FBF1225"/>
    <w:rsid w:val="5FCFF612"/>
    <w:rsid w:val="5FDBA183"/>
    <w:rsid w:val="5FDF1F88"/>
    <w:rsid w:val="5FFE8AC7"/>
    <w:rsid w:val="5FFECBC6"/>
    <w:rsid w:val="5FFEFC9E"/>
    <w:rsid w:val="5FFF9266"/>
    <w:rsid w:val="60AC0289"/>
    <w:rsid w:val="62C566D9"/>
    <w:rsid w:val="62E40F96"/>
    <w:rsid w:val="631134D0"/>
    <w:rsid w:val="645C9469"/>
    <w:rsid w:val="649A1507"/>
    <w:rsid w:val="64B94F77"/>
    <w:rsid w:val="64CF659A"/>
    <w:rsid w:val="653AD166"/>
    <w:rsid w:val="657B5DDA"/>
    <w:rsid w:val="65814CCC"/>
    <w:rsid w:val="65844EE6"/>
    <w:rsid w:val="65CD88FB"/>
    <w:rsid w:val="65FBDB01"/>
    <w:rsid w:val="669C123C"/>
    <w:rsid w:val="66DE488C"/>
    <w:rsid w:val="67DA18D7"/>
    <w:rsid w:val="67F14B92"/>
    <w:rsid w:val="68662D72"/>
    <w:rsid w:val="68AFEC72"/>
    <w:rsid w:val="699960B9"/>
    <w:rsid w:val="6A010367"/>
    <w:rsid w:val="6A3B1601"/>
    <w:rsid w:val="6A4E1D0F"/>
    <w:rsid w:val="6A7D394C"/>
    <w:rsid w:val="6B511AB7"/>
    <w:rsid w:val="6B9B6B3F"/>
    <w:rsid w:val="6BC8E371"/>
    <w:rsid w:val="6BD56ED0"/>
    <w:rsid w:val="6BDFE938"/>
    <w:rsid w:val="6BF3CE3B"/>
    <w:rsid w:val="6BF7F0AD"/>
    <w:rsid w:val="6BFF6A39"/>
    <w:rsid w:val="6C8B1333"/>
    <w:rsid w:val="6CC85DA9"/>
    <w:rsid w:val="6D6A4A2B"/>
    <w:rsid w:val="6D77406F"/>
    <w:rsid w:val="6DDD8BCD"/>
    <w:rsid w:val="6DF962FB"/>
    <w:rsid w:val="6E1708DF"/>
    <w:rsid w:val="6E3F5D81"/>
    <w:rsid w:val="6EBF13A9"/>
    <w:rsid w:val="6EC41CF0"/>
    <w:rsid w:val="6EF13B35"/>
    <w:rsid w:val="6EF7C700"/>
    <w:rsid w:val="6EFF457D"/>
    <w:rsid w:val="6F4A571F"/>
    <w:rsid w:val="6F5F6ACD"/>
    <w:rsid w:val="6F7E449A"/>
    <w:rsid w:val="6FBB27F8"/>
    <w:rsid w:val="6FCEECEA"/>
    <w:rsid w:val="6FD7F390"/>
    <w:rsid w:val="6FF533C6"/>
    <w:rsid w:val="6FF69EBF"/>
    <w:rsid w:val="6FFBD211"/>
    <w:rsid w:val="6FFD9576"/>
    <w:rsid w:val="6FFF438D"/>
    <w:rsid w:val="6FFFF103"/>
    <w:rsid w:val="70425E72"/>
    <w:rsid w:val="70BB5729"/>
    <w:rsid w:val="712F47B1"/>
    <w:rsid w:val="71312019"/>
    <w:rsid w:val="71511175"/>
    <w:rsid w:val="71C476A8"/>
    <w:rsid w:val="71F70DEA"/>
    <w:rsid w:val="723972B1"/>
    <w:rsid w:val="72AD3CED"/>
    <w:rsid w:val="73005444"/>
    <w:rsid w:val="73502A5B"/>
    <w:rsid w:val="7352D21E"/>
    <w:rsid w:val="7371452C"/>
    <w:rsid w:val="73BF9DEE"/>
    <w:rsid w:val="73DAF122"/>
    <w:rsid w:val="73E01C2A"/>
    <w:rsid w:val="73FBA011"/>
    <w:rsid w:val="74211436"/>
    <w:rsid w:val="747F9DD0"/>
    <w:rsid w:val="74BA210E"/>
    <w:rsid w:val="74BD0AC4"/>
    <w:rsid w:val="74DE690E"/>
    <w:rsid w:val="74E65C40"/>
    <w:rsid w:val="74F2772A"/>
    <w:rsid w:val="750E18F6"/>
    <w:rsid w:val="752DF01D"/>
    <w:rsid w:val="757566D7"/>
    <w:rsid w:val="757DE146"/>
    <w:rsid w:val="75BBCBC6"/>
    <w:rsid w:val="75C22FC6"/>
    <w:rsid w:val="75C4038F"/>
    <w:rsid w:val="75F7E888"/>
    <w:rsid w:val="761B29E7"/>
    <w:rsid w:val="763C3364"/>
    <w:rsid w:val="767F518C"/>
    <w:rsid w:val="76F76FC1"/>
    <w:rsid w:val="76FB5A67"/>
    <w:rsid w:val="770B4A11"/>
    <w:rsid w:val="773A0FC3"/>
    <w:rsid w:val="773F55F9"/>
    <w:rsid w:val="7755BCF4"/>
    <w:rsid w:val="777CD4CC"/>
    <w:rsid w:val="77867866"/>
    <w:rsid w:val="77BD0418"/>
    <w:rsid w:val="78184525"/>
    <w:rsid w:val="789B6A68"/>
    <w:rsid w:val="78F7E3CD"/>
    <w:rsid w:val="7977FAF9"/>
    <w:rsid w:val="797E52C4"/>
    <w:rsid w:val="79C43D9C"/>
    <w:rsid w:val="79E014E4"/>
    <w:rsid w:val="7A7E17CA"/>
    <w:rsid w:val="7A8D23E0"/>
    <w:rsid w:val="7A995842"/>
    <w:rsid w:val="7AD7DAB9"/>
    <w:rsid w:val="7ADCC45D"/>
    <w:rsid w:val="7ADFFC83"/>
    <w:rsid w:val="7B7A1DA4"/>
    <w:rsid w:val="7B7D2941"/>
    <w:rsid w:val="7B7F4275"/>
    <w:rsid w:val="7B7FB2E4"/>
    <w:rsid w:val="7B868E71"/>
    <w:rsid w:val="7B95779E"/>
    <w:rsid w:val="7BB6E52A"/>
    <w:rsid w:val="7BEF395A"/>
    <w:rsid w:val="7BF5BFEF"/>
    <w:rsid w:val="7BFFC8B4"/>
    <w:rsid w:val="7C39CDAA"/>
    <w:rsid w:val="7CD7100A"/>
    <w:rsid w:val="7CDFA96F"/>
    <w:rsid w:val="7D1938E0"/>
    <w:rsid w:val="7D4231CD"/>
    <w:rsid w:val="7D515947"/>
    <w:rsid w:val="7D7377B4"/>
    <w:rsid w:val="7D7573DA"/>
    <w:rsid w:val="7D7606D1"/>
    <w:rsid w:val="7DC51C1A"/>
    <w:rsid w:val="7DE3F60B"/>
    <w:rsid w:val="7DF7BD4D"/>
    <w:rsid w:val="7DFD3B92"/>
    <w:rsid w:val="7DFE3C7E"/>
    <w:rsid w:val="7E025C62"/>
    <w:rsid w:val="7E302563"/>
    <w:rsid w:val="7E5FD074"/>
    <w:rsid w:val="7E7E282C"/>
    <w:rsid w:val="7E7F0AEF"/>
    <w:rsid w:val="7E7F26F6"/>
    <w:rsid w:val="7E9BA00C"/>
    <w:rsid w:val="7EDB897B"/>
    <w:rsid w:val="7EE1A6B4"/>
    <w:rsid w:val="7EEBC4C2"/>
    <w:rsid w:val="7EFE4F33"/>
    <w:rsid w:val="7F731D7B"/>
    <w:rsid w:val="7F7D58EC"/>
    <w:rsid w:val="7F7DDCDD"/>
    <w:rsid w:val="7F7F7DF7"/>
    <w:rsid w:val="7F8D2B9E"/>
    <w:rsid w:val="7F973476"/>
    <w:rsid w:val="7F9C9501"/>
    <w:rsid w:val="7FB50F89"/>
    <w:rsid w:val="7FB7AB01"/>
    <w:rsid w:val="7FBF9E2E"/>
    <w:rsid w:val="7FBFFB1B"/>
    <w:rsid w:val="7FBFFE53"/>
    <w:rsid w:val="7FDFDAC0"/>
    <w:rsid w:val="7FE90B3B"/>
    <w:rsid w:val="7FE94D0D"/>
    <w:rsid w:val="7FEE6995"/>
    <w:rsid w:val="7FEF8920"/>
    <w:rsid w:val="7FEF9DD9"/>
    <w:rsid w:val="7FF56E03"/>
    <w:rsid w:val="7FF63882"/>
    <w:rsid w:val="7FFA2E76"/>
    <w:rsid w:val="7FFA5924"/>
    <w:rsid w:val="7FFB05BF"/>
    <w:rsid w:val="7FFB2348"/>
    <w:rsid w:val="7FFDAC93"/>
    <w:rsid w:val="7FFE000A"/>
    <w:rsid w:val="7FFFE411"/>
    <w:rsid w:val="9B9ABD04"/>
    <w:rsid w:val="9BAAC018"/>
    <w:rsid w:val="9BEFA5B1"/>
    <w:rsid w:val="9D4B5CFF"/>
    <w:rsid w:val="9EDF84A4"/>
    <w:rsid w:val="9F4FA3E5"/>
    <w:rsid w:val="9F7DF26C"/>
    <w:rsid w:val="9FBE2055"/>
    <w:rsid w:val="9FCF866D"/>
    <w:rsid w:val="9FECACAE"/>
    <w:rsid w:val="9FF2581D"/>
    <w:rsid w:val="9FF5A1A1"/>
    <w:rsid w:val="9FFEEE93"/>
    <w:rsid w:val="A3FF13E1"/>
    <w:rsid w:val="A5BA99CC"/>
    <w:rsid w:val="A64FC73A"/>
    <w:rsid w:val="A6DCDC40"/>
    <w:rsid w:val="A7BE7C19"/>
    <w:rsid w:val="A8FB8FE3"/>
    <w:rsid w:val="A91F781B"/>
    <w:rsid w:val="A9FB63FF"/>
    <w:rsid w:val="AA7DBA39"/>
    <w:rsid w:val="AB55617E"/>
    <w:rsid w:val="AB6F0123"/>
    <w:rsid w:val="AB9905F0"/>
    <w:rsid w:val="ACFBAC81"/>
    <w:rsid w:val="AEEFFC01"/>
    <w:rsid w:val="AEF9D037"/>
    <w:rsid w:val="AEFF617F"/>
    <w:rsid w:val="AF6F2FF8"/>
    <w:rsid w:val="B5933704"/>
    <w:rsid w:val="B7778DCA"/>
    <w:rsid w:val="B77EE5B2"/>
    <w:rsid w:val="B7B7A409"/>
    <w:rsid w:val="B7D70A3B"/>
    <w:rsid w:val="B7DA057A"/>
    <w:rsid w:val="BA7B23C6"/>
    <w:rsid w:val="BBF7E46A"/>
    <w:rsid w:val="BC67DA63"/>
    <w:rsid w:val="BD7B3566"/>
    <w:rsid w:val="BEBB0CC6"/>
    <w:rsid w:val="BEF7FCF8"/>
    <w:rsid w:val="BEF8E83B"/>
    <w:rsid w:val="BF7B4D5F"/>
    <w:rsid w:val="BFA5226D"/>
    <w:rsid w:val="BFD5F4EA"/>
    <w:rsid w:val="BFE5E91E"/>
    <w:rsid w:val="BFED7A7E"/>
    <w:rsid w:val="BFEDBAE3"/>
    <w:rsid w:val="BFFF55D2"/>
    <w:rsid w:val="BFFFE406"/>
    <w:rsid w:val="C7161C15"/>
    <w:rsid w:val="C7ED6125"/>
    <w:rsid w:val="CAAFFF65"/>
    <w:rsid w:val="CBAFCE87"/>
    <w:rsid w:val="CD5E6841"/>
    <w:rsid w:val="CEFD1679"/>
    <w:rsid w:val="CF3F616C"/>
    <w:rsid w:val="CF7FB0FB"/>
    <w:rsid w:val="CFFF7263"/>
    <w:rsid w:val="D0E7F526"/>
    <w:rsid w:val="D1FF33F5"/>
    <w:rsid w:val="D5BE87DD"/>
    <w:rsid w:val="D79F26E4"/>
    <w:rsid w:val="D9FDD505"/>
    <w:rsid w:val="DBBFB217"/>
    <w:rsid w:val="DBE7B399"/>
    <w:rsid w:val="DCFCB2BE"/>
    <w:rsid w:val="DDBFD2BD"/>
    <w:rsid w:val="DDF5E3EE"/>
    <w:rsid w:val="DE47917C"/>
    <w:rsid w:val="DEFF2BFC"/>
    <w:rsid w:val="DF7B1795"/>
    <w:rsid w:val="DF8AAA13"/>
    <w:rsid w:val="DF8BC0F4"/>
    <w:rsid w:val="DF979A47"/>
    <w:rsid w:val="DFBB106A"/>
    <w:rsid w:val="DFCFF39A"/>
    <w:rsid w:val="DFEEC753"/>
    <w:rsid w:val="DFEFD79F"/>
    <w:rsid w:val="DFF7E9E8"/>
    <w:rsid w:val="DFFF1366"/>
    <w:rsid w:val="DFFF240C"/>
    <w:rsid w:val="DFFF40BE"/>
    <w:rsid w:val="DFFF7617"/>
    <w:rsid w:val="DFFFF7D8"/>
    <w:rsid w:val="E2E4C4C9"/>
    <w:rsid w:val="E9F71EFB"/>
    <w:rsid w:val="EA9E64C1"/>
    <w:rsid w:val="EABC5E9B"/>
    <w:rsid w:val="EBE1FF92"/>
    <w:rsid w:val="EC7FD369"/>
    <w:rsid w:val="ECD686C0"/>
    <w:rsid w:val="EDCB428E"/>
    <w:rsid w:val="EDF71036"/>
    <w:rsid w:val="EDF7BF6B"/>
    <w:rsid w:val="EDFDA5E0"/>
    <w:rsid w:val="EEFE4344"/>
    <w:rsid w:val="EF5929C6"/>
    <w:rsid w:val="EF5B210A"/>
    <w:rsid w:val="EF6F266E"/>
    <w:rsid w:val="EF6FB062"/>
    <w:rsid w:val="EF774045"/>
    <w:rsid w:val="EFBEBB9F"/>
    <w:rsid w:val="EFDCCA88"/>
    <w:rsid w:val="EFE5B35E"/>
    <w:rsid w:val="EFFC8219"/>
    <w:rsid w:val="EFFD97B3"/>
    <w:rsid w:val="F1DEA83E"/>
    <w:rsid w:val="F3AD5F57"/>
    <w:rsid w:val="F3EC9143"/>
    <w:rsid w:val="F3ED6C9B"/>
    <w:rsid w:val="F474D50F"/>
    <w:rsid w:val="F5B30ACD"/>
    <w:rsid w:val="F5D792DE"/>
    <w:rsid w:val="F5F7F477"/>
    <w:rsid w:val="F66EB7A0"/>
    <w:rsid w:val="F787CA02"/>
    <w:rsid w:val="F79F4772"/>
    <w:rsid w:val="F7D45E0A"/>
    <w:rsid w:val="F7FD0344"/>
    <w:rsid w:val="F7FF681B"/>
    <w:rsid w:val="F8F3D931"/>
    <w:rsid w:val="F9771342"/>
    <w:rsid w:val="F9BE49AC"/>
    <w:rsid w:val="F9CD4514"/>
    <w:rsid w:val="F9CEC668"/>
    <w:rsid w:val="F9E25425"/>
    <w:rsid w:val="F9EE518C"/>
    <w:rsid w:val="FAB7B483"/>
    <w:rsid w:val="FAC6FE0B"/>
    <w:rsid w:val="FACF472C"/>
    <w:rsid w:val="FAFF6C73"/>
    <w:rsid w:val="FB63F85C"/>
    <w:rsid w:val="FB6BCEB5"/>
    <w:rsid w:val="FB6E079A"/>
    <w:rsid w:val="FB7D2771"/>
    <w:rsid w:val="FB7E255A"/>
    <w:rsid w:val="FBA77513"/>
    <w:rsid w:val="FBB64E61"/>
    <w:rsid w:val="FBBF5ED0"/>
    <w:rsid w:val="FBDC7C6E"/>
    <w:rsid w:val="FBEFB1D8"/>
    <w:rsid w:val="FBFE7906"/>
    <w:rsid w:val="FBFF829D"/>
    <w:rsid w:val="FBFFDEAA"/>
    <w:rsid w:val="FC3D7FFA"/>
    <w:rsid w:val="FCFFA22B"/>
    <w:rsid w:val="FD7F6165"/>
    <w:rsid w:val="FDDBF8DD"/>
    <w:rsid w:val="FDE761ED"/>
    <w:rsid w:val="FDEBEDDF"/>
    <w:rsid w:val="FDF3E9F2"/>
    <w:rsid w:val="FDF3FD53"/>
    <w:rsid w:val="FDFDF723"/>
    <w:rsid w:val="FDFE829E"/>
    <w:rsid w:val="FDFF990E"/>
    <w:rsid w:val="FDFFA292"/>
    <w:rsid w:val="FDFFE170"/>
    <w:rsid w:val="FE1F9F7E"/>
    <w:rsid w:val="FE6CA426"/>
    <w:rsid w:val="FE734873"/>
    <w:rsid w:val="FE75290A"/>
    <w:rsid w:val="FE7CCE37"/>
    <w:rsid w:val="FEEFB7BB"/>
    <w:rsid w:val="FEF377E6"/>
    <w:rsid w:val="FEFB190F"/>
    <w:rsid w:val="FEFF9A9E"/>
    <w:rsid w:val="FF39B3DE"/>
    <w:rsid w:val="FF3B6118"/>
    <w:rsid w:val="FF4D19DE"/>
    <w:rsid w:val="FF7386DA"/>
    <w:rsid w:val="FF7F19E4"/>
    <w:rsid w:val="FF7FDEE9"/>
    <w:rsid w:val="FF7FED2D"/>
    <w:rsid w:val="FF9EEFB6"/>
    <w:rsid w:val="FFABA138"/>
    <w:rsid w:val="FFAE9355"/>
    <w:rsid w:val="FFBF2CA9"/>
    <w:rsid w:val="FFBFF2BC"/>
    <w:rsid w:val="FFD61E77"/>
    <w:rsid w:val="FFD74F08"/>
    <w:rsid w:val="FFDB47C8"/>
    <w:rsid w:val="FFEE2730"/>
    <w:rsid w:val="FFEFF36A"/>
    <w:rsid w:val="FFF886A9"/>
    <w:rsid w:val="FFFB016E"/>
    <w:rsid w:val="FFFEB091"/>
    <w:rsid w:val="FFFF01FC"/>
    <w:rsid w:val="FFFF9781"/>
    <w:rsid w:val="FFFF9FFF"/>
    <w:rsid w:val="FFFFA7CA"/>
    <w:rsid w:val="FFFFE006"/>
    <w:rsid w:val="FFFFE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40" w:lineRule="exact"/>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宋体" w:cs="Times New Roman"/>
      <w:lang w:bidi="ar-SA"/>
    </w:rPr>
  </w:style>
  <w:style w:type="paragraph" w:styleId="3">
    <w:name w:val="Normal Indent"/>
    <w:basedOn w:val="1"/>
    <w:qFormat/>
    <w:uiPriority w:val="0"/>
    <w:pPr>
      <w:ind w:firstLine="420" w:firstLineChars="200"/>
    </w:pPr>
  </w:style>
  <w:style w:type="paragraph" w:styleId="4">
    <w:name w:val="Plain Text"/>
    <w:basedOn w:val="1"/>
    <w:qFormat/>
    <w:uiPriority w:val="0"/>
    <w:rPr>
      <w:rFonts w:ascii="??" w:hAnsi="Courier New" w:eastAsia="Times New Roman" w:cs="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2"/>
    <w:qFormat/>
    <w:uiPriority w:val="99"/>
    <w:pPr>
      <w:spacing w:after="0"/>
      <w:ind w:firstLine="420" w:firstLineChars="100"/>
    </w:pPr>
    <w:rPr>
      <w:rFonts w:ascii="等线" w:hAnsi="等线" w:eastAsia="等线"/>
      <w:szCs w:val="24"/>
    </w:rPr>
  </w:style>
  <w:style w:type="character" w:styleId="10">
    <w:name w:val="Strong"/>
    <w:basedOn w:val="9"/>
    <w:qFormat/>
    <w:uiPriority w:val="0"/>
    <w:rPr>
      <w:rFonts w:ascii="Times New Roman" w:hAnsi="Times New Roman" w:eastAsia="宋体" w:cs="Times New Roman"/>
      <w:b/>
    </w:rPr>
  </w:style>
  <w:style w:type="character" w:styleId="11">
    <w:name w:val="Emphasis"/>
    <w:basedOn w:val="9"/>
    <w:qFormat/>
    <w:uiPriority w:val="0"/>
    <w:rPr>
      <w:i/>
    </w:rPr>
  </w:style>
  <w:style w:type="paragraph" w:customStyle="1" w:styleId="12">
    <w:name w:val="BodyText"/>
    <w:basedOn w:val="1"/>
    <w:qFormat/>
    <w:uiPriority w:val="0"/>
    <w:pPr>
      <w:spacing w:after="0" w:afterLines="0"/>
      <w:jc w:val="both"/>
      <w:textAlignment w:val="baseline"/>
    </w:pPr>
    <w:rPr>
      <w:rFonts w:ascii="Arial" w:hAnsi="Arial" w:eastAsia="Arial" w:cs="Arial"/>
      <w:b/>
      <w:bCs/>
      <w:kern w:val="2"/>
      <w:sz w:val="30"/>
      <w:szCs w:val="30"/>
      <w:lang w:val="zh-CN" w:eastAsia="zh-CN" w:bidi="zh-CN"/>
    </w:rPr>
  </w:style>
  <w:style w:type="character" w:customStyle="1" w:styleId="13">
    <w:name w:val="font51"/>
    <w:basedOn w:val="9"/>
    <w:qFormat/>
    <w:uiPriority w:val="0"/>
    <w:rPr>
      <w:rFonts w:hint="default" w:ascii="仿宋_GB2312" w:eastAsia="仿宋_GB2312" w:cs="仿宋_GB2312"/>
      <w:color w:val="000000"/>
      <w:sz w:val="20"/>
      <w:szCs w:val="20"/>
      <w:u w:val="none"/>
    </w:rPr>
  </w:style>
  <w:style w:type="character" w:customStyle="1" w:styleId="14">
    <w:name w:val="font21"/>
    <w:basedOn w:val="9"/>
    <w:qFormat/>
    <w:uiPriority w:val="0"/>
    <w:rPr>
      <w:rFonts w:hint="default" w:ascii="仿宋_GB2312" w:eastAsia="仿宋_GB2312" w:cs="仿宋_GB2312"/>
      <w:b/>
      <w:color w:val="000000"/>
      <w:sz w:val="20"/>
      <w:szCs w:val="20"/>
      <w:u w:val="none"/>
    </w:rPr>
  </w:style>
  <w:style w:type="character" w:customStyle="1" w:styleId="15">
    <w:name w:val="font01"/>
    <w:basedOn w:val="9"/>
    <w:qFormat/>
    <w:uiPriority w:val="0"/>
    <w:rPr>
      <w:rFonts w:hint="default"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22992</Words>
  <Characters>24513</Characters>
  <Lines>0</Lines>
  <Paragraphs>0</Paragraphs>
  <TotalTime>2</TotalTime>
  <ScaleCrop>false</ScaleCrop>
  <LinksUpToDate>false</LinksUpToDate>
  <CharactersWithSpaces>24568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2022-01-31T15:29:00Z</dcterms:created>
  <dc:creator>lenovo</dc:creator>
  <cp:lastModifiedBy>uos</cp:lastModifiedBy>
  <cp:lastPrinted>2024-02-08T03:07:00Z</cp:lastPrinted>
  <dcterms:modified xsi:type="dcterms:W3CDTF">2024-02-07T09:09:39Z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9FBA27FDBD974E289FE22FC54AE91965</vt:lpwstr>
  </property>
</Properties>
</file>