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2023年度沈阳市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中小企业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公共服务示范平台建设项目补助资金申报指南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推进中小企业公共服务体系建设，助力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我市中小企业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健康快速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《沈阳市支持中小企业和个体工商户稳增长若干政策措施》（沈工信发〔2022〕16号），指导相关单位申报2023年度沈阳市中小企业公共服务示范平台建设项目补助资金，特制订本申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报指南。具体如下：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有效期内的市级(含）以上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中小企业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公共服务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，并且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在示范期内运营一年以上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均可申报。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、支持标准和方式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对有效期内的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（含）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中小企业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公共服务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平台改造升级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投资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建设项目，按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照上一年度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实际完成改造投资的40%给予补助，补助资金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不超过200万元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平台改造升级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投资：主要是指为提升平台服务能力，必要设备、软件的购置费，线上服务平台建设费，引进行业先进技术成果费，保持平台配套的机房、实验室运行环境相关投入等费用支出。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中小企业公共服务示范平台建设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项目申请表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中小企业公共服务示范平台建设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项目申请报告；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法人证书或营业执照副本（复印件）；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4.示范平台认定文件（复印件）；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固定的经营服务场所证明复印件（房产证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租赁合同）；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6.平台主要服务设备、仪器及软件清单；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平台服务人员</w:t>
      </w:r>
      <w:r>
        <w:rPr>
          <w:rFonts w:hint="eastAsia" w:ascii="仿宋_GB2312" w:eastAsia="仿宋_GB2312"/>
          <w:sz w:val="32"/>
          <w:szCs w:val="32"/>
          <w:lang w:eastAsia="zh-CN"/>
        </w:rPr>
        <w:t>名单及学历或职称、社保缴费等</w:t>
      </w:r>
      <w:r>
        <w:rPr>
          <w:rFonts w:hint="eastAsia" w:ascii="仿宋_GB2312" w:eastAsia="仿宋_GB2312"/>
          <w:sz w:val="32"/>
          <w:szCs w:val="32"/>
        </w:rPr>
        <w:t>证明材料；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集聚服务机构合作协议</w:t>
      </w:r>
      <w:r>
        <w:rPr>
          <w:rFonts w:hint="eastAsia" w:ascii="仿宋_GB2312" w:eastAsia="仿宋_GB2312"/>
          <w:sz w:val="32"/>
          <w:szCs w:val="32"/>
          <w:lang w:eastAsia="zh-CN"/>
        </w:rPr>
        <w:t>（按照不低于各级示范平台规定数量提供）</w:t>
      </w:r>
      <w:r>
        <w:rPr>
          <w:rFonts w:hint="eastAsia" w:ascii="仿宋_GB2312" w:eastAsia="仿宋_GB2312"/>
          <w:sz w:val="32"/>
          <w:szCs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上一年度服务的中小企业</w:t>
      </w:r>
      <w:r>
        <w:rPr>
          <w:rFonts w:hint="eastAsia" w:ascii="仿宋_GB2312" w:eastAsia="仿宋_GB2312"/>
          <w:sz w:val="32"/>
          <w:szCs w:val="32"/>
          <w:lang w:eastAsia="zh-CN"/>
        </w:rPr>
        <w:t>名单（按照不低于各级示范平台规定数量提供）；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上一年度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中小企业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相关合同（</w:t>
      </w:r>
      <w:r>
        <w:rPr>
          <w:rFonts w:hint="eastAsia" w:ascii="仿宋_GB2312" w:eastAsia="仿宋_GB2312"/>
          <w:sz w:val="32"/>
          <w:szCs w:val="32"/>
        </w:rPr>
        <w:t>协议</w:t>
      </w:r>
      <w:r>
        <w:rPr>
          <w:rFonts w:hint="eastAsia" w:ascii="仿宋_GB2312" w:eastAsia="仿宋_GB2312"/>
          <w:sz w:val="32"/>
          <w:szCs w:val="32"/>
          <w:lang w:eastAsia="zh-CN"/>
        </w:rPr>
        <w:t>）复印件（不少于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50户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11.上一年度</w:t>
      </w:r>
      <w:r>
        <w:rPr>
          <w:rFonts w:hint="eastAsia" w:ascii="仿宋_GB2312" w:eastAsia="仿宋_GB2312"/>
          <w:sz w:val="32"/>
          <w:szCs w:val="32"/>
        </w:rPr>
        <w:t>开展相关服务</w:t>
      </w:r>
      <w:r>
        <w:rPr>
          <w:rFonts w:hint="eastAsia" w:ascii="仿宋_GB2312" w:eastAsia="仿宋_GB2312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sz w:val="32"/>
          <w:szCs w:val="32"/>
        </w:rPr>
        <w:t>的证明材料（</w:t>
      </w:r>
      <w:r>
        <w:rPr>
          <w:rFonts w:hint="eastAsia" w:ascii="仿宋_GB2312" w:eastAsia="仿宋_GB2312"/>
          <w:sz w:val="32"/>
          <w:szCs w:val="32"/>
          <w:lang w:eastAsia="zh-CN"/>
        </w:rPr>
        <w:t>按照不低于各级示范平台规定的数量提供相关活动的</w:t>
      </w:r>
      <w:r>
        <w:rPr>
          <w:rFonts w:hint="eastAsia" w:ascii="仿宋_GB2312" w:eastAsia="仿宋_GB2312"/>
          <w:sz w:val="32"/>
          <w:szCs w:val="32"/>
        </w:rPr>
        <w:t>通知、照片</w:t>
      </w:r>
      <w:r>
        <w:rPr>
          <w:rFonts w:hint="eastAsia" w:ascii="仿宋_GB2312" w:eastAsia="仿宋_GB2312"/>
          <w:sz w:val="32"/>
          <w:szCs w:val="32"/>
          <w:lang w:eastAsia="zh-CN"/>
        </w:rPr>
        <w:t>及签到表</w:t>
      </w:r>
      <w:r>
        <w:rPr>
          <w:rFonts w:hint="eastAsia" w:ascii="仿宋_GB2312" w:eastAsia="仿宋_GB2312"/>
          <w:sz w:val="32"/>
          <w:szCs w:val="32"/>
        </w:rPr>
        <w:t>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12.获得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以上部门颁发的从业资格（资质）、网站备案、许可证等证明（复印件）；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13.上一年度运营单位含平台服务收支的财务审计报告；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14.上一年度项目建设投资明细表及相关证明（采购合同、记账凭证、发票及银行转账单等）；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（法人签字及公章）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申报及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评审流程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1.市工业和信息化局下发申报通知，</w:t>
      </w:r>
      <w:r>
        <w:rPr>
          <w:rFonts w:hint="eastAsia" w:ascii="仿宋_GB2312" w:eastAsia="仿宋_GB2312"/>
          <w:sz w:val="32"/>
          <w:szCs w:val="32"/>
        </w:rPr>
        <w:t>由各区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县（市）工信部门</w:t>
      </w:r>
      <w:r>
        <w:rPr>
          <w:rFonts w:hint="eastAsia" w:ascii="仿宋_GB2312" w:eastAsia="仿宋_GB2312"/>
          <w:sz w:val="32"/>
          <w:szCs w:val="32"/>
          <w:lang w:eastAsia="zh-CN"/>
        </w:rPr>
        <w:t>按照通知要求，组织辖区内示范平台申报。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、县（市）工信部门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初审确认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,将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辖区内符合申报条件的示范平台项目以正式推荐文件报送到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、县（市）工信部门推荐的，市工业和信息化局不予受理。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、县（市）工信部门推荐的示范平台项目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，通过沈阳市工业专项资金管理平台（http://www.sytouch.com）进行注册申报，上传申报材料。待市工业和信息化局评审通过后，将纸介质</w:t>
      </w:r>
      <w:r>
        <w:rPr>
          <w:rFonts w:hint="eastAsia" w:ascii="仿宋_GB2312" w:eastAsia="仿宋_GB2312"/>
          <w:sz w:val="32"/>
          <w:szCs w:val="32"/>
        </w:rPr>
        <w:t>申报资料一式2</w:t>
      </w:r>
      <w:r>
        <w:rPr>
          <w:rFonts w:hint="eastAsia" w:ascii="仿宋_GB2312" w:eastAsia="仿宋_GB2312"/>
          <w:sz w:val="32"/>
          <w:szCs w:val="32"/>
          <w:lang w:eastAsia="zh-CN"/>
        </w:rPr>
        <w:t>份胶装成册</w:t>
      </w:r>
      <w:r>
        <w:rPr>
          <w:rFonts w:hint="eastAsia" w:ascii="仿宋_GB2312" w:eastAsia="仿宋_GB2312"/>
          <w:sz w:val="32"/>
          <w:szCs w:val="32"/>
        </w:rPr>
        <w:t>，报送市工业和信息局复审备查。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对申报材料进行审核通过后，组织第三方服务机构进行财务评审，根据财务评审结果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编制奖补资金安排计划，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在市工业和信息化局门户网站进行公示</w:t>
      </w:r>
      <w:r>
        <w:rPr>
          <w:rFonts w:hint="eastAsia" w:ascii="仿宋_GB2312" w:eastAsia="仿宋_GB2312"/>
          <w:sz w:val="32"/>
          <w:szCs w:val="32"/>
          <w:lang w:eastAsia="zh-CN"/>
        </w:rPr>
        <w:t>。经</w:t>
      </w:r>
      <w:r>
        <w:rPr>
          <w:rFonts w:hint="eastAsia" w:ascii="仿宋_GB2312" w:eastAsia="仿宋_GB2312"/>
          <w:sz w:val="32"/>
          <w:szCs w:val="32"/>
        </w:rPr>
        <w:t>公示期无异议，</w:t>
      </w:r>
      <w:r>
        <w:rPr>
          <w:rFonts w:hint="eastAsia" w:ascii="仿宋_GB2312" w:eastAsia="仿宋_GB2312"/>
          <w:sz w:val="32"/>
          <w:szCs w:val="32"/>
          <w:lang w:eastAsia="zh-CN"/>
        </w:rPr>
        <w:t>报市政府审定通过后，市财政局拨付奖补资金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  <w:t>各申报单位按照上述申报材料顺序编辑电子版（PDF格式）于5月24日前上传到网上申报系统，同时将整套申报材料（PDF格式）及可编辑的电子版发送至邮箱13555856696@163.com。待初审通过后另行通知报送纸介质胶装材料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网上申报系统技术支持联系人：赵长仲，电话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hd w:val="clear" w:color="auto" w:fill="FFFFFF"/>
          <w:lang w:val="en-US" w:eastAsia="zh-CN"/>
        </w:rPr>
        <w:t>：15002483036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jYxYjdhNjhkMDdmZmFiM2Y3YTNkM2VkNjc2NGIifQ=="/>
  </w:docVars>
  <w:rsids>
    <w:rsidRoot w:val="710138F0"/>
    <w:rsid w:val="03A51BE2"/>
    <w:rsid w:val="082D51CC"/>
    <w:rsid w:val="0D7B3351"/>
    <w:rsid w:val="13FA5D97"/>
    <w:rsid w:val="16046A44"/>
    <w:rsid w:val="17E46A74"/>
    <w:rsid w:val="25BF006D"/>
    <w:rsid w:val="2F3D2519"/>
    <w:rsid w:val="345E2FAF"/>
    <w:rsid w:val="38FF72DF"/>
    <w:rsid w:val="3A374555"/>
    <w:rsid w:val="3EB97C0F"/>
    <w:rsid w:val="41A466FC"/>
    <w:rsid w:val="41FB7E8A"/>
    <w:rsid w:val="47555600"/>
    <w:rsid w:val="51D80961"/>
    <w:rsid w:val="52B41A06"/>
    <w:rsid w:val="535A422C"/>
    <w:rsid w:val="550B5A96"/>
    <w:rsid w:val="576C2F16"/>
    <w:rsid w:val="584F230F"/>
    <w:rsid w:val="592B46E3"/>
    <w:rsid w:val="61E417CC"/>
    <w:rsid w:val="62B15299"/>
    <w:rsid w:val="63D20880"/>
    <w:rsid w:val="677A27ED"/>
    <w:rsid w:val="6C1D35F5"/>
    <w:rsid w:val="6E0A066D"/>
    <w:rsid w:val="6F850BCE"/>
    <w:rsid w:val="710138F0"/>
    <w:rsid w:val="730E05BF"/>
    <w:rsid w:val="765E24FD"/>
    <w:rsid w:val="78CB6897"/>
    <w:rsid w:val="ABCE5CE3"/>
    <w:rsid w:val="F47B52F5"/>
    <w:rsid w:val="FFFFE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rFonts w:hint="eastAsia" w:ascii="微软雅黑" w:hAnsi="微软雅黑" w:eastAsia="微软雅黑" w:cs="微软雅黑"/>
      <w:color w:val="515151"/>
      <w:kern w:val="0"/>
      <w:sz w:val="24"/>
      <w:szCs w:val="24"/>
      <w:lang w:val="en-US" w:eastAsia="zh-CN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1321</Characters>
  <Lines>0</Lines>
  <Paragraphs>0</Paragraphs>
  <TotalTime>1</TotalTime>
  <ScaleCrop>false</ScaleCrop>
  <LinksUpToDate>false</LinksUpToDate>
  <CharactersWithSpaces>1323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2019-07-11T17:23:00Z</dcterms:created>
  <dc:creator>陈华卿</dc:creator>
  <cp:lastModifiedBy>user</cp:lastModifiedBy>
  <cp:lastPrinted>2019-07-25T14:07:00Z</cp:lastPrinted>
  <dcterms:modified xsi:type="dcterms:W3CDTF">2023-04-24T10:57:34Z</dcterms:modified>
  <dc:title>2019年度沈阳市支持中小企业发展资金项目申报指南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4C79CD8473044562AA62CCDA8BA405EB</vt:lpwstr>
  </property>
</Properties>
</file>