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 w:afterLines="30"/>
        <w:contextualSpacing/>
        <w:rPr>
          <w:rFonts w:hint="eastAsia" w:ascii="黑体" w:hAnsi="黑体" w:eastAsia="黑体"/>
          <w:color w:val="000000"/>
          <w:kern w:val="0"/>
          <w:szCs w:val="32"/>
        </w:rPr>
      </w:pPr>
      <w:r>
        <w:rPr>
          <w:rFonts w:hint="eastAsia" w:ascii="黑体" w:hAnsi="黑体" w:eastAsia="黑体"/>
          <w:color w:val="000000"/>
          <w:kern w:val="0"/>
          <w:szCs w:val="32"/>
        </w:rPr>
        <w:t>附件1</w:t>
      </w:r>
    </w:p>
    <w:p>
      <w:pPr>
        <w:contextualSpacing/>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数字化转型服务商分类目录</w:t>
      </w:r>
    </w:p>
    <w:p>
      <w:pPr>
        <w:contextualSpacing/>
        <w:rPr>
          <w:color w:val="000000"/>
          <w:kern w:val="0"/>
          <w:szCs w:val="32"/>
        </w:rPr>
      </w:pPr>
    </w:p>
    <w:p>
      <w:pPr>
        <w:ind w:firstLine="640" w:firstLineChars="200"/>
        <w:contextualSpacing/>
        <w:rPr>
          <w:rFonts w:hint="eastAsia" w:ascii="黑体" w:hAnsi="黑体" w:eastAsia="黑体"/>
          <w:color w:val="000000"/>
          <w:kern w:val="0"/>
          <w:szCs w:val="32"/>
        </w:rPr>
      </w:pPr>
      <w:r>
        <w:rPr>
          <w:rFonts w:hint="eastAsia" w:ascii="黑体" w:hAnsi="黑体" w:eastAsia="黑体"/>
          <w:color w:val="000000"/>
          <w:kern w:val="0"/>
          <w:szCs w:val="32"/>
        </w:rPr>
        <w:t>一、数字化转型整体解决方案服务商</w:t>
      </w:r>
    </w:p>
    <w:p>
      <w:pPr>
        <w:ind w:firstLine="640" w:firstLineChars="200"/>
        <w:contextualSpacing/>
        <w:rPr>
          <w:rFonts w:hint="eastAsia" w:ascii="仿宋_GB2312"/>
          <w:color w:val="000000"/>
          <w:kern w:val="0"/>
          <w:szCs w:val="32"/>
        </w:rPr>
      </w:pPr>
      <w:r>
        <w:rPr>
          <w:rFonts w:hint="eastAsia" w:ascii="仿宋_GB2312"/>
          <w:color w:val="000000"/>
          <w:kern w:val="0"/>
          <w:szCs w:val="32"/>
        </w:rPr>
        <w:t>具备较高的数字化转型整体解决方案规划设计能力和总集成总承包服务实施能力。能够根据用户需求，提供智能工厂（车间）顶层设计和软硬件一体化实施的整体解决方案；能够根据顶层方案规划，实现智能工厂（车间）的装备及系统开发，设备集成、信息集成、系统集成、过程集成和商业集成等服务，实现智能装备、智能生产单元、智能生产线、数字化车间、智能工厂之间，以及智能制造系统等不同功能系统之间的数据交换和功能互联；能够为企业提供5G+工业互联网综合解决方案，建设5G全连接工厂。</w:t>
      </w:r>
    </w:p>
    <w:p>
      <w:pPr>
        <w:ind w:firstLine="640" w:firstLineChars="200"/>
        <w:contextualSpacing/>
        <w:rPr>
          <w:rFonts w:hint="eastAsia" w:ascii="黑体" w:hAnsi="黑体" w:eastAsia="黑体"/>
          <w:color w:val="000000"/>
          <w:kern w:val="0"/>
          <w:szCs w:val="32"/>
        </w:rPr>
      </w:pPr>
      <w:r>
        <w:rPr>
          <w:rFonts w:hint="eastAsia" w:ascii="黑体" w:hAnsi="黑体" w:eastAsia="黑体"/>
          <w:color w:val="000000"/>
          <w:kern w:val="0"/>
          <w:szCs w:val="32"/>
        </w:rPr>
        <w:t>二、智能装备及自动化产线服务商</w:t>
      </w:r>
    </w:p>
    <w:p>
      <w:pPr>
        <w:ind w:firstLine="640" w:firstLineChars="200"/>
        <w:contextualSpacing/>
        <w:rPr>
          <w:rFonts w:hint="eastAsia" w:ascii="仿宋_GB2312"/>
          <w:color w:val="000000"/>
          <w:kern w:val="0"/>
          <w:szCs w:val="32"/>
        </w:rPr>
      </w:pPr>
      <w:r>
        <w:rPr>
          <w:rFonts w:hint="eastAsia" w:ascii="仿宋_GB2312"/>
          <w:color w:val="000000"/>
          <w:kern w:val="0"/>
          <w:szCs w:val="32"/>
        </w:rPr>
        <w:t>1.面向企业生产过程智能化提供具有感知、分析、推理、决策、控制功能的制造装备，包括但不限于工业机器人、数控机床、3D打印机、智能传感与控制、智能检测与装配、智能仓储与物流等装备。</w:t>
      </w:r>
    </w:p>
    <w:p>
      <w:pPr>
        <w:ind w:firstLine="640" w:firstLineChars="200"/>
        <w:contextualSpacing/>
        <w:rPr>
          <w:rFonts w:hint="eastAsia" w:ascii="仿宋_GB2312"/>
          <w:color w:val="000000"/>
          <w:kern w:val="0"/>
          <w:szCs w:val="32"/>
        </w:rPr>
      </w:pPr>
      <w:r>
        <w:rPr>
          <w:rFonts w:hint="eastAsia" w:ascii="仿宋_GB2312"/>
          <w:color w:val="000000"/>
          <w:kern w:val="0"/>
          <w:szCs w:val="32"/>
        </w:rPr>
        <w:t>2.提供改造非数字化装备整体解决方案，具有装备数据采集、边缘计算、在线监控（检测）、智能控制、故障预警等能力。提供智能制造单元及自动化产线解决方案，实现设备、产线、信息系统之间的互联互通和集成应用，制造单元系统集成和制造执行（MES）系统集成。</w:t>
      </w:r>
    </w:p>
    <w:p>
      <w:pPr>
        <w:ind w:firstLine="640" w:firstLineChars="200"/>
        <w:contextualSpacing/>
        <w:rPr>
          <w:rFonts w:hint="eastAsia" w:ascii="仿宋_GB2312"/>
          <w:color w:val="000000"/>
          <w:kern w:val="0"/>
          <w:szCs w:val="32"/>
        </w:rPr>
      </w:pPr>
      <w:r>
        <w:rPr>
          <w:rFonts w:hint="eastAsia" w:ascii="仿宋_GB2312"/>
          <w:color w:val="000000"/>
          <w:kern w:val="0"/>
          <w:szCs w:val="32"/>
        </w:rPr>
        <w:t>3.提供面向数字化管理、网络化协同、个性化定制、服务化延伸（远程运维）等智能制造场景的智能装备及自动化产线解决方案，具有相应的服务实施能力。</w:t>
      </w:r>
    </w:p>
    <w:p>
      <w:pPr>
        <w:ind w:firstLine="640" w:firstLineChars="200"/>
        <w:contextualSpacing/>
        <w:rPr>
          <w:rFonts w:hint="eastAsia" w:ascii="黑体" w:hAnsi="黑体" w:eastAsia="黑体"/>
          <w:color w:val="000000"/>
          <w:kern w:val="0"/>
          <w:szCs w:val="32"/>
        </w:rPr>
      </w:pPr>
      <w:r>
        <w:rPr>
          <w:rFonts w:hint="eastAsia" w:ascii="黑体" w:hAnsi="黑体" w:eastAsia="黑体"/>
          <w:color w:val="000000"/>
          <w:kern w:val="0"/>
          <w:szCs w:val="32"/>
        </w:rPr>
        <w:t>三、上云上平台服务商</w:t>
      </w:r>
    </w:p>
    <w:p>
      <w:pPr>
        <w:ind w:firstLine="640" w:firstLineChars="200"/>
        <w:contextualSpacing/>
        <w:rPr>
          <w:rFonts w:hint="eastAsia" w:ascii="仿宋_GB2312"/>
          <w:color w:val="000000"/>
          <w:kern w:val="0"/>
          <w:szCs w:val="32"/>
        </w:rPr>
      </w:pPr>
      <w:r>
        <w:rPr>
          <w:rFonts w:hint="eastAsia" w:ascii="仿宋_GB2312"/>
          <w:color w:val="000000"/>
          <w:kern w:val="0"/>
          <w:szCs w:val="32"/>
        </w:rPr>
        <w:t>1.工业互联网平台服务。面向企业数字化、网络化、智能化转型升级的需求，通过工业互联网平台将设备、产线、工厂、供应商、产品以及客户紧密连接，汇聚资源与能力，以平台化的方式为工业企业提供边缘接入、应用开发、工业电商、数据与模型分析应用和计算、存储、网络等虚拟资源，以及研发设计、生产制造、经营管理、运维服务等工业应用服务。构建工业互联网平台生态，提供协同服务（如协同制造、供应链管理）、资源共享服务（如应用模型库、知识库）、资源优化服务（如制造能力在线发布、在线营销）、工业大数据服务等解决方案服务。</w:t>
      </w:r>
    </w:p>
    <w:p>
      <w:pPr>
        <w:ind w:firstLine="640" w:firstLineChars="200"/>
        <w:contextualSpacing/>
        <w:rPr>
          <w:rFonts w:hint="eastAsia" w:ascii="仿宋_GB2312"/>
          <w:color w:val="000000"/>
          <w:kern w:val="0"/>
          <w:szCs w:val="32"/>
        </w:rPr>
      </w:pPr>
      <w:r>
        <w:rPr>
          <w:rFonts w:hint="eastAsia" w:ascii="仿宋_GB2312"/>
          <w:color w:val="000000"/>
          <w:kern w:val="0"/>
          <w:szCs w:val="32"/>
        </w:rPr>
        <w:t>2.工业软件提供与服务。包括研发设计、工艺仿真、企业资源计划（ERP）、生产执行系统（MES）、供应链管理（SCM）、产品全生命周期管理（PLM）、仓储物流管理（WMS）、数据采集与监视控制系统（SCADA）等本地化部署工业软件，并具备相应的开发、调试、部署等服务能力。</w:t>
      </w:r>
    </w:p>
    <w:p>
      <w:pPr>
        <w:ind w:firstLine="640" w:firstLineChars="200"/>
        <w:contextualSpacing/>
        <w:rPr>
          <w:rFonts w:hint="eastAsia" w:ascii="黑体" w:hAnsi="黑体" w:eastAsia="黑体"/>
          <w:color w:val="000000"/>
          <w:kern w:val="0"/>
          <w:szCs w:val="32"/>
        </w:rPr>
      </w:pPr>
      <w:r>
        <w:rPr>
          <w:rFonts w:hint="eastAsia" w:ascii="黑体" w:hAnsi="黑体" w:eastAsia="黑体"/>
          <w:color w:val="000000"/>
          <w:kern w:val="0"/>
          <w:szCs w:val="32"/>
          <w:lang w:eastAsia="zh-CN"/>
        </w:rPr>
        <w:t>四</w:t>
      </w:r>
      <w:bookmarkStart w:id="0" w:name="_GoBack"/>
      <w:bookmarkEnd w:id="0"/>
      <w:r>
        <w:rPr>
          <w:rFonts w:hint="eastAsia" w:ascii="黑体" w:hAnsi="黑体" w:eastAsia="黑体"/>
          <w:color w:val="000000"/>
          <w:kern w:val="0"/>
          <w:szCs w:val="32"/>
        </w:rPr>
        <w:t>、数字化转型咨询诊断与培训服务商</w:t>
      </w:r>
    </w:p>
    <w:p>
      <w:pPr>
        <w:ind w:firstLine="640" w:firstLineChars="200"/>
        <w:contextualSpacing/>
        <w:rPr>
          <w:rFonts w:hint="eastAsia" w:ascii="仿宋_GB2312"/>
          <w:color w:val="000000"/>
          <w:kern w:val="0"/>
          <w:szCs w:val="32"/>
        </w:rPr>
      </w:pPr>
      <w:r>
        <w:rPr>
          <w:rFonts w:hint="eastAsia" w:ascii="仿宋_GB2312"/>
          <w:color w:val="000000"/>
          <w:kern w:val="0"/>
          <w:szCs w:val="32"/>
        </w:rPr>
        <w:t>了解国家、省数字化转型政策，具有专业的咨询规划团队/部门，熟悉用户的行业知识、技术，具备项目咨询规划经验，根据行业特点及发展需求，建立行业知识库和专家库，能够在制造业数字化转型方面提供智库支撑服务。按照企业客户或政府委托约定的内容和要求，结合企业需求、行业特性和资质条件，对人员、技术、装备、生产、物流、销售、服务等方面的能力建设情况进行诊断、评估和监理，形成分析报告。具备标准制定相关经验或相应能力，能够开展数字化转型领域国家、行业、地方、团体标准的制修订，以及验证、推广等服务，包括两化融合贯标、智能制造能力成熟度评估等。具备开展数字化转型相关政策宣贯、标准解读及贯标等培训的能力。</w:t>
      </w:r>
    </w:p>
    <w:p>
      <w:pPr>
        <w:ind w:firstLine="640" w:firstLineChars="200"/>
        <w:contextualSpacing/>
        <w:rPr>
          <w:rFonts w:hint="eastAsia" w:ascii="仿宋_GB2312"/>
          <w:color w:val="000000"/>
          <w:kern w:val="0"/>
          <w:szCs w:val="32"/>
        </w:rPr>
      </w:pPr>
    </w:p>
    <w:p>
      <w:pPr>
        <w:ind w:firstLine="640" w:firstLineChars="200"/>
        <w:contextualSpacing/>
        <w:rPr>
          <w:rFonts w:hint="eastAsia" w:ascii="仿宋_GB2312"/>
          <w:color w:val="000000"/>
          <w:kern w:val="0"/>
          <w:szCs w:val="32"/>
        </w:rPr>
      </w:pPr>
    </w:p>
    <w:p>
      <w:pPr>
        <w:ind w:firstLine="640" w:firstLineChars="200"/>
        <w:contextualSpacing/>
        <w:rPr>
          <w:rFonts w:hint="eastAsia" w:ascii="仿宋_GB2312"/>
          <w:color w:val="000000"/>
          <w:kern w:val="0"/>
          <w:szCs w:val="32"/>
        </w:rPr>
      </w:pPr>
    </w:p>
    <w:p>
      <w:pPr>
        <w:ind w:firstLine="640" w:firstLineChars="200"/>
        <w:contextualSpacing/>
        <w:rPr>
          <w:rFonts w:hint="eastAsia" w:ascii="仿宋_GB2312"/>
          <w:color w:val="000000"/>
          <w:kern w:val="0"/>
          <w:szCs w:val="32"/>
        </w:rPr>
      </w:pPr>
    </w:p>
    <w:p>
      <w:pPr>
        <w:ind w:firstLine="640" w:firstLineChars="200"/>
        <w:contextualSpacing/>
        <w:rPr>
          <w:rFonts w:hint="eastAsia" w:ascii="仿宋_GB2312"/>
          <w:color w:val="000000"/>
          <w:kern w:val="0"/>
          <w:szCs w:val="32"/>
        </w:rPr>
      </w:pPr>
    </w:p>
    <w:p>
      <w:pPr>
        <w:ind w:firstLine="640" w:firstLineChars="200"/>
        <w:contextualSpacing/>
        <w:rPr>
          <w:rFonts w:hint="eastAsia" w:ascii="仿宋_GB2312"/>
          <w:color w:val="000000"/>
          <w:kern w:val="0"/>
          <w:szCs w:val="32"/>
        </w:rPr>
      </w:pPr>
    </w:p>
    <w:p>
      <w:pPr>
        <w:ind w:firstLine="640" w:firstLineChars="200"/>
        <w:contextualSpacing/>
        <w:rPr>
          <w:rFonts w:hint="eastAsia" w:ascii="仿宋_GB2312"/>
          <w:color w:val="000000"/>
          <w:kern w:val="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D162C"/>
    <w:rsid w:val="3DE11224"/>
    <w:rsid w:val="5FF4FBEB"/>
    <w:rsid w:val="B32379E8"/>
    <w:rsid w:val="D3FFC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2022-08-10T19:02:00Z</dcterms:created>
  <dc:creator>Administrator</dc:creator>
  <cp:lastModifiedBy>user</cp:lastModifiedBy>
  <dcterms:modified xsi:type="dcterms:W3CDTF">2022-09-19T15:43:04Z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